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emf" ContentType="image/x-emf"/>
  <Override PartName="/word/media/image1.png" ContentType="image/png"/>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8"/>
          <w:szCs w:val="28"/>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645910" cy="986472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45910" cy="9864725"/>
                    </a:xfrm>
                    <a:prstGeom prst="rect">
                      <a:avLst/>
                    </a:prstGeom>
                  </pic:spPr>
                </pic:pic>
              </a:graphicData>
            </a:graphic>
          </wp:anchor>
        </w:drawing>
      </w:r>
    </w:p>
    <w:p>
      <w:pPr>
        <w:pStyle w:val="Normal"/>
        <w:keepNext w:val="true"/>
        <w:keepLines/>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true"/>
        <w:keepLines/>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true"/>
        <w:keepLines/>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Style21"/>
        <w:keepNext w:val="true"/>
        <w:keepLines/>
        <w:spacing w:lineRule="auto" w:line="240" w:before="0" w:after="0"/>
        <w:ind w:firstLine="709"/>
        <w:jc w:val="center"/>
        <w:rPr>
          <w:rFonts w:ascii="Times New Roman" w:hAnsi="Times New Roman" w:eastAsia="Times New Roman" w:cs="Times New Roman"/>
          <w:b/>
          <w:i w:val="false"/>
          <w:caps w:val="false"/>
          <w:smallCaps w:val="false"/>
          <w:strike w:val="false"/>
          <w:dstrike w:val="false"/>
          <w:color w:val="000000"/>
          <w:sz w:val="28"/>
          <w:szCs w:val="28"/>
          <w:u w:val="none"/>
          <w:effect w:val="none"/>
        </w:rPr>
      </w:pPr>
      <w:bookmarkStart w:id="0" w:name="docs-internal-guid-2f3e41ed-7fff-4526-b7"/>
      <w:bookmarkEnd w:id="0"/>
      <w:r>
        <w:rPr>
          <w:rFonts w:eastAsia="Times New Roman" w:cs="Times New Roman" w:ascii="Times New Roman" w:hAnsi="Times New Roman"/>
          <w:b/>
          <w:i w:val="false"/>
          <w:caps w:val="false"/>
          <w:smallCaps w:val="false"/>
          <w:strike w:val="false"/>
          <w:dstrike w:val="false"/>
          <w:color w:val="000000"/>
          <w:sz w:val="28"/>
          <w:szCs w:val="28"/>
          <w:u w:val="none"/>
          <w:effect w:val="none"/>
        </w:rPr>
        <w:t>Оглавление</w:t>
      </w:r>
    </w:p>
    <w:p>
      <w:pPr>
        <w:pStyle w:val="Style21"/>
        <w:rPr/>
      </w:pPr>
      <w:r>
        <w:rPr/>
      </w:r>
    </w:p>
    <w:p>
      <w:pPr>
        <w:pStyle w:val="Style21"/>
        <w:bidi w:val="0"/>
        <w:spacing w:lineRule="auto" w:line="288" w:before="0" w:after="100"/>
        <w:rPr/>
      </w:pPr>
      <w:r>
        <w:rPr>
          <w:rFonts w:ascii="Times New Roman" w:hAnsi="Times New Roman"/>
          <w:b w:val="false"/>
          <w:i w:val="false"/>
          <w:caps w:val="false"/>
          <w:smallCaps w:val="false"/>
          <w:strike w:val="false"/>
          <w:dstrike w:val="false"/>
          <w:color w:val="000000"/>
          <w:sz w:val="28"/>
          <w:u w:val="none"/>
          <w:effect w:val="none"/>
        </w:rPr>
        <w:t>I.</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Общие сведения об образовательной организации ...................................3</w:t>
      </w:r>
    </w:p>
    <w:p>
      <w:pPr>
        <w:pStyle w:val="Style21"/>
        <w:bidi w:val="0"/>
        <w:spacing w:lineRule="auto" w:line="288" w:before="0" w:after="100"/>
        <w:rPr/>
      </w:pPr>
      <w:r>
        <w:rPr>
          <w:rFonts w:ascii="Times New Roman" w:hAnsi="Times New Roman"/>
          <w:b w:val="false"/>
          <w:i w:val="false"/>
          <w:caps w:val="false"/>
          <w:smallCaps w:val="false"/>
          <w:strike w:val="false"/>
          <w:dstrike w:val="false"/>
          <w:color w:val="000000"/>
          <w:sz w:val="28"/>
          <w:u w:val="none"/>
          <w:effect w:val="none"/>
        </w:rPr>
        <w:t>II.</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Система управления организацией</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4</w:t>
      </w:r>
    </w:p>
    <w:p>
      <w:pPr>
        <w:pStyle w:val="Style21"/>
        <w:bidi w:val="0"/>
        <w:spacing w:lineRule="auto" w:line="288" w:before="0" w:after="100"/>
        <w:rPr/>
      </w:pPr>
      <w:r>
        <w:rPr>
          <w:rFonts w:ascii="Times New Roman" w:hAnsi="Times New Roman"/>
          <w:b w:val="false"/>
          <w:i w:val="false"/>
          <w:caps w:val="false"/>
          <w:smallCaps w:val="false"/>
          <w:strike w:val="false"/>
          <w:dstrike w:val="false"/>
          <w:color w:val="000000"/>
          <w:sz w:val="28"/>
          <w:u w:val="none"/>
          <w:effect w:val="none"/>
        </w:rPr>
        <w:t>III.</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Оценка образовательной деятельности</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6</w:t>
      </w:r>
    </w:p>
    <w:p>
      <w:pPr>
        <w:pStyle w:val="Style21"/>
        <w:bidi w:val="0"/>
        <w:spacing w:lineRule="auto" w:line="288" w:before="0" w:after="100"/>
        <w:rPr/>
      </w:pPr>
      <w:r>
        <w:rPr>
          <w:rFonts w:ascii="Times New Roman" w:hAnsi="Times New Roman"/>
          <w:b w:val="false"/>
          <w:i w:val="false"/>
          <w:caps w:val="false"/>
          <w:smallCaps w:val="false"/>
          <w:strike w:val="false"/>
          <w:dstrike w:val="false"/>
          <w:color w:val="000000"/>
          <w:sz w:val="28"/>
          <w:u w:val="none"/>
          <w:effect w:val="none"/>
        </w:rPr>
        <w:t>IV.</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Содержание и качество подготовки обучающихся……………………..9</w:t>
      </w:r>
    </w:p>
    <w:p>
      <w:pPr>
        <w:pStyle w:val="Style21"/>
        <w:bidi w:val="0"/>
        <w:spacing w:lineRule="auto" w:line="288" w:before="0" w:after="100"/>
        <w:rPr/>
      </w:pPr>
      <w:r>
        <w:rPr>
          <w:rFonts w:ascii="Times New Roman" w:hAnsi="Times New Roman"/>
          <w:b w:val="false"/>
          <w:i w:val="false"/>
          <w:caps w:val="false"/>
          <w:smallCaps w:val="false"/>
          <w:strike w:val="false"/>
          <w:dstrike w:val="false"/>
          <w:color w:val="000000"/>
          <w:sz w:val="28"/>
          <w:u w:val="none"/>
          <w:effect w:val="none"/>
        </w:rPr>
        <w:t>V.</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Внутренняя система оценки качества образования……………………..10</w:t>
      </w:r>
    </w:p>
    <w:p>
      <w:pPr>
        <w:pStyle w:val="Style21"/>
        <w:bidi w:val="0"/>
        <w:spacing w:lineRule="auto" w:line="288" w:before="0" w:after="100"/>
        <w:rPr>
          <w:rFonts w:ascii="Times New Roman" w:hAnsi="Times New Roman"/>
          <w:b w:val="false"/>
          <w:i w:val="false"/>
          <w:caps w:val="false"/>
          <w:smallCaps w:val="false"/>
          <w:strike w:val="false"/>
          <w:dstrike w:val="false"/>
          <w:color w:val="000000"/>
          <w:sz w:val="28"/>
          <w:u w:val="none"/>
          <w:effect w:val="none"/>
        </w:rPr>
      </w:pPr>
      <w:r>
        <w:rPr>
          <w:rFonts w:ascii="Times New Roman" w:hAnsi="Times New Roman"/>
          <w:b w:val="false"/>
          <w:i w:val="false"/>
          <w:caps w:val="false"/>
          <w:smallCaps w:val="false"/>
          <w:strike w:val="false"/>
          <w:dstrike w:val="false"/>
          <w:color w:val="000000"/>
          <w:sz w:val="28"/>
          <w:u w:val="none"/>
          <w:effect w:val="none"/>
        </w:rPr>
        <w:t>VI. Качество кадрового, учебно-методического, библиотечно-информационного обеспечения………………………………………………...................................10</w:t>
      </w:r>
    </w:p>
    <w:p>
      <w:pPr>
        <w:pStyle w:val="Style21"/>
        <w:bidi w:val="0"/>
        <w:spacing w:lineRule="auto" w:line="288" w:before="0" w:after="0"/>
        <w:rPr>
          <w:rFonts w:ascii="Times New Roman" w:hAnsi="Times New Roman"/>
          <w:b w:val="false"/>
          <w:i w:val="false"/>
          <w:caps w:val="false"/>
          <w:smallCaps w:val="false"/>
          <w:strike w:val="false"/>
          <w:dstrike w:val="false"/>
          <w:color w:val="000000"/>
          <w:sz w:val="28"/>
          <w:u w:val="none"/>
          <w:effect w:val="none"/>
        </w:rPr>
      </w:pPr>
      <w:r>
        <w:rPr>
          <w:rFonts w:ascii="Times New Roman" w:hAnsi="Times New Roman"/>
          <w:b w:val="false"/>
          <w:i w:val="false"/>
          <w:caps w:val="false"/>
          <w:smallCaps w:val="false"/>
          <w:strike w:val="false"/>
          <w:dstrike w:val="false"/>
          <w:color w:val="000000"/>
          <w:sz w:val="28"/>
          <w:u w:val="none"/>
          <w:effect w:val="none"/>
        </w:rPr>
        <w:t>VII. Информационное обеспечение…………………………………………….11</w:t>
      </w:r>
    </w:p>
    <w:p>
      <w:pPr>
        <w:pStyle w:val="Style21"/>
        <w:bidi w:val="0"/>
        <w:spacing w:lineRule="auto" w:line="288" w:before="0" w:after="100"/>
        <w:rPr/>
      </w:pPr>
      <w:r>
        <w:rPr>
          <w:rFonts w:ascii="Times New Roman" w:hAnsi="Times New Roman"/>
          <w:b w:val="false"/>
          <w:i w:val="false"/>
          <w:caps w:val="false"/>
          <w:smallCaps w:val="false"/>
          <w:strike w:val="false"/>
          <w:dstrike w:val="false"/>
          <w:color w:val="000000"/>
          <w:sz w:val="28"/>
          <w:u w:val="none"/>
          <w:effect w:val="none"/>
        </w:rPr>
        <w:t>VIII. Материально - техническое обеспечение в условиях реализации ФГОС образования обучающихся ..................................................................................12</w:t>
      </w:r>
    </w:p>
    <w:p>
      <w:pPr>
        <w:pStyle w:val="Style21"/>
        <w:bidi w:val="0"/>
        <w:spacing w:lineRule="auto" w:line="288" w:before="0" w:after="100"/>
        <w:rPr/>
      </w:pPr>
      <w:r>
        <w:rPr>
          <w:rFonts w:ascii="Times New Roman" w:hAnsi="Times New Roman"/>
          <w:b w:val="false"/>
          <w:i w:val="false"/>
          <w:caps w:val="false"/>
          <w:smallCaps w:val="false"/>
          <w:strike w:val="false"/>
          <w:dstrike w:val="false"/>
          <w:color w:val="000000"/>
          <w:sz w:val="28"/>
          <w:u w:val="none"/>
          <w:effect w:val="none"/>
        </w:rPr>
        <w:t>IX. Результаты анализа показателей образовательной деятельности</w:t>
      </w:r>
      <w:r>
        <w:rPr>
          <w:caps w:val="false"/>
          <w:smallCaps w:val="false"/>
          <w:strike w:val="false"/>
          <w:dstrike w:val="false"/>
          <w:color w:val="000000"/>
          <w:u w:val="none"/>
          <w:effect w:val="none"/>
        </w:rPr>
        <w:t xml:space="preserve"> </w:t>
      </w:r>
      <w:r>
        <w:rPr>
          <w:rFonts w:ascii="Times New Roman" w:hAnsi="Times New Roman"/>
          <w:b w:val="false"/>
          <w:i w:val="false"/>
          <w:caps w:val="false"/>
          <w:smallCaps w:val="false"/>
          <w:strike w:val="false"/>
          <w:dstrike w:val="false"/>
          <w:color w:val="000000"/>
          <w:sz w:val="28"/>
          <w:u w:val="none"/>
          <w:effect w:val="none"/>
        </w:rPr>
        <w:t>12</w:t>
      </w:r>
    </w:p>
    <w:p>
      <w:pPr>
        <w:pStyle w:val="Style21"/>
        <w:bidi w:val="0"/>
        <w:spacing w:lineRule="auto" w:line="288" w:before="0" w:after="0"/>
        <w:rPr>
          <w:rFonts w:ascii="Times New Roman" w:hAnsi="Times New Roman"/>
          <w:b w:val="false"/>
          <w:i w:val="false"/>
          <w:caps w:val="false"/>
          <w:smallCaps w:val="false"/>
          <w:strike w:val="false"/>
          <w:dstrike w:val="false"/>
          <w:color w:val="000000"/>
          <w:sz w:val="28"/>
          <w:u w:val="none"/>
          <w:effect w:val="none"/>
        </w:rPr>
      </w:pPr>
      <w:r>
        <w:rPr>
          <w:rFonts w:ascii="Times New Roman" w:hAnsi="Times New Roman"/>
          <w:b w:val="false"/>
          <w:i w:val="false"/>
          <w:caps w:val="false"/>
          <w:smallCaps w:val="false"/>
          <w:strike w:val="false"/>
          <w:dstrike w:val="false"/>
          <w:color w:val="000000"/>
          <w:sz w:val="28"/>
          <w:u w:val="none"/>
          <w:effect w:val="none"/>
        </w:rPr>
        <w:t>X. Прогноз дальнейшего пути развития  гимназии…………………………...14</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sz w:val="28"/>
          <w:szCs w:val="28"/>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t xml:space="preserve"> </w:t>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left" w:pos="284" w:leader="none"/>
        </w:tabs>
        <w:spacing w:lineRule="auto" w:line="240" w:before="0" w:after="0"/>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istParagraph"/>
        <w:keepNext w:val="true"/>
        <w:keepLines/>
        <w:numPr>
          <w:ilvl w:val="0"/>
          <w:numId w:val="6"/>
        </w:numPr>
        <w:spacing w:lineRule="auto" w:line="240" w:before="0" w:after="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Общие сведения об образовательной организации</w:t>
      </w:r>
    </w:p>
    <w:p>
      <w:pPr>
        <w:pStyle w:val="ListParagraph"/>
        <w:keepNext w:val="true"/>
        <w:keepLines/>
        <w:spacing w:lineRule="auto" w:line="240" w:before="0" w:after="0"/>
        <w:ind w:left="1429"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b/>
          <w:sz w:val="28"/>
          <w:szCs w:val="28"/>
        </w:rPr>
        <w:t>Наименование образовательной организации:</w:t>
      </w:r>
      <w:r>
        <w:rPr>
          <w:rFonts w:eastAsia="Times New Roman" w:cs="Times New Roman" w:ascii="Times New Roman" w:hAnsi="Times New Roman"/>
          <w:sz w:val="28"/>
          <w:szCs w:val="28"/>
        </w:rPr>
        <w:t xml:space="preserve"> Частное общеобразовательное учреждение «Православная гимназия во имя святителя Игнатия Брянчанинова»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b/>
          <w:sz w:val="28"/>
          <w:szCs w:val="28"/>
        </w:rPr>
        <w:t>Руководитель:</w:t>
      </w:r>
      <w:r>
        <w:rPr>
          <w:rFonts w:eastAsia="Times New Roman" w:cs="Times New Roman" w:ascii="Times New Roman" w:hAnsi="Times New Roman"/>
          <w:sz w:val="28"/>
          <w:szCs w:val="28"/>
        </w:rPr>
        <w:t xml:space="preserve"> Ющенко Валентина Геннадьевна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b/>
          <w:sz w:val="28"/>
          <w:szCs w:val="28"/>
        </w:rPr>
        <w:t>Адрес организации:</w:t>
      </w:r>
      <w:r>
        <w:rPr>
          <w:rFonts w:eastAsia="Times New Roman" w:cs="Times New Roman" w:ascii="Times New Roman" w:hAnsi="Times New Roman"/>
          <w:sz w:val="28"/>
          <w:szCs w:val="28"/>
        </w:rPr>
        <w:t xml:space="preserve"> 630117, г. Новосибирск, ул. Шатурская, д. 2б</w:t>
      </w:r>
    </w:p>
    <w:p>
      <w:pPr>
        <w:pStyle w:val="Normal"/>
        <w:spacing w:lineRule="auto" w:line="240" w:before="0" w:after="0"/>
        <w:ind w:firstLine="709"/>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Реквизиты лицензии на образовательную деятельность:</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ИНН:5408000045; КПП:540801001; ОГРН: 1105400002476</w:t>
      </w:r>
    </w:p>
    <w:p>
      <w:pPr>
        <w:pStyle w:val="Normal"/>
        <w:spacing w:lineRule="auto" w:line="240" w:before="0" w:after="0"/>
        <w:ind w:firstLine="709"/>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rPr>
        <w:t>Телефон:</w:t>
      </w:r>
      <w:r>
        <w:rPr>
          <w:rFonts w:eastAsia="Times New Roman" w:cs="Times New Roman" w:ascii="Times New Roman" w:hAnsi="Times New Roman"/>
          <w:sz w:val="28"/>
          <w:szCs w:val="28"/>
          <w:shd w:fill="FFFFFF" w:val="clear"/>
        </w:rPr>
        <w:t xml:space="preserve"> 8 (383) 332-08-58</w:t>
      </w:r>
    </w:p>
    <w:p>
      <w:pPr>
        <w:pStyle w:val="Normal"/>
        <w:spacing w:lineRule="auto" w:line="240" w:before="0" w:after="0"/>
        <w:ind w:firstLine="709"/>
        <w:rPr>
          <w:rFonts w:ascii="Times New Roman" w:hAnsi="Times New Roman" w:eastAsia="Times New Roman" w:cs="Times New Roman"/>
          <w:color w:val="292929"/>
          <w:sz w:val="28"/>
          <w:szCs w:val="28"/>
          <w:highlight w:val="yellow"/>
        </w:rPr>
      </w:pPr>
      <w:r>
        <w:rPr>
          <w:rFonts w:eastAsia="Times New Roman" w:cs="Times New Roman" w:ascii="Times New Roman" w:hAnsi="Times New Roman"/>
          <w:b/>
          <w:sz w:val="28"/>
          <w:szCs w:val="28"/>
        </w:rPr>
        <w:t xml:space="preserve">Адрес электронной почты: </w:t>
      </w:r>
      <w:r>
        <w:rPr>
          <w:rFonts w:eastAsia="Times New Roman" w:cs="Times New Roman" w:ascii="Times New Roman" w:hAnsi="Times New Roman"/>
          <w:color w:val="0000FF"/>
          <w:sz w:val="28"/>
          <w:szCs w:val="28"/>
          <w:u w:val="single"/>
          <w:shd w:fill="FFFFFF" w:val="clear"/>
        </w:rPr>
        <w:t>pravgimnaziya@gmail.com</w:t>
      </w:r>
    </w:p>
    <w:p>
      <w:pPr>
        <w:pStyle w:val="Normal"/>
        <w:spacing w:lineRule="auto" w:line="240" w:before="0" w:after="0"/>
        <w:ind w:firstLine="709"/>
        <w:rPr>
          <w:rFonts w:ascii="Times New Roman" w:hAnsi="Times New Roman" w:eastAsia="Times New Roman" w:cs="Times New Roman"/>
          <w:color w:val="292929"/>
          <w:sz w:val="28"/>
          <w:szCs w:val="28"/>
          <w:highlight w:val="yellow"/>
        </w:rPr>
      </w:pPr>
      <w:r>
        <w:rPr>
          <w:rFonts w:eastAsia="Times New Roman" w:cs="Times New Roman" w:ascii="Times New Roman" w:hAnsi="Times New Roman"/>
          <w:b/>
          <w:sz w:val="28"/>
          <w:szCs w:val="28"/>
        </w:rPr>
        <w:t>Учредитель:</w:t>
      </w:r>
      <w:r>
        <w:rPr>
          <w:rFonts w:eastAsia="Times New Roman" w:cs="Times New Roman" w:ascii="Times New Roman" w:hAnsi="Times New Roman"/>
          <w:sz w:val="28"/>
          <w:szCs w:val="28"/>
        </w:rPr>
        <w:t xml:space="preserve"> Местная православная религиозная организация «Приход храма в честь Рождества Пресвятой Богородицы г. Новосибирска  Новосибирской Епархии Русской Православной Церкви (Московский патриархат)».</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b/>
          <w:sz w:val="28"/>
          <w:szCs w:val="28"/>
        </w:rPr>
        <w:t>Режим работы:</w:t>
      </w:r>
      <w:r>
        <w:rPr>
          <w:rFonts w:eastAsia="Times New Roman" w:cs="Times New Roman" w:ascii="Times New Roman" w:hAnsi="Times New Roman"/>
          <w:sz w:val="28"/>
          <w:szCs w:val="28"/>
        </w:rPr>
        <w:t xml:space="preserve"> понедельник –  пятница с 8:00 до 16:00; перерыв с 12:00 до 12:48; выходные дни – суббота, воскресенье</w:t>
      </w:r>
    </w:p>
    <w:p>
      <w:pPr>
        <w:pStyle w:val="Normal"/>
        <w:tabs>
          <w:tab w:val="left" w:pos="6330"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Дата создания: </w:t>
      </w:r>
      <w:r>
        <w:rPr>
          <w:rFonts w:eastAsia="Times New Roman" w:cs="Times New Roman" w:ascii="Times New Roman" w:hAnsi="Times New Roman"/>
          <w:sz w:val="28"/>
          <w:szCs w:val="28"/>
        </w:rPr>
        <w:t>20. 06. 2010 г.</w:t>
        <w:tab/>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Лицензия:</w:t>
      </w:r>
      <w:r>
        <w:rPr>
          <w:rFonts w:eastAsia="Times New Roman" w:cs="Times New Roman" w:ascii="Times New Roman" w:hAnsi="Times New Roman"/>
          <w:sz w:val="28"/>
          <w:szCs w:val="28"/>
        </w:rPr>
        <w:t xml:space="preserve"> </w:t>
      </w:r>
      <w:r>
        <w:rPr>
          <w:rFonts w:eastAsia="Segoe UI Symbol" w:cs="Times New Roman" w:ascii="Times New Roman" w:hAnsi="Times New Roman"/>
          <w:sz w:val="28"/>
          <w:szCs w:val="28"/>
        </w:rPr>
        <w:t>№</w:t>
      </w:r>
      <w:r>
        <w:rPr>
          <w:rFonts w:eastAsia="Times New Roman" w:cs="Times New Roman" w:ascii="Times New Roman" w:hAnsi="Times New Roman"/>
          <w:sz w:val="28"/>
          <w:szCs w:val="28"/>
        </w:rPr>
        <w:t xml:space="preserve"> 11167 от 17 декабря 2019года.</w:t>
      </w:r>
    </w:p>
    <w:p>
      <w:pPr>
        <w:pStyle w:val="Normal"/>
        <w:spacing w:lineRule="auto" w:line="240" w:before="0" w:after="0"/>
        <w:ind w:firstLine="709"/>
        <w:jc w:val="both"/>
        <w:rPr>
          <w:rFonts w:ascii="Times New Roman" w:hAnsi="Times New Roman" w:eastAsia="Times New Roman" w:cs="Times New Roman"/>
          <w:color w:val="292929"/>
          <w:sz w:val="28"/>
          <w:szCs w:val="28"/>
          <w:highlight w:val="white"/>
        </w:rPr>
      </w:pPr>
      <w:r>
        <w:rPr>
          <w:rFonts w:eastAsia="Times New Roman" w:cs="Times New Roman" w:ascii="Times New Roman" w:hAnsi="Times New Roman"/>
          <w:b/>
          <w:sz w:val="28"/>
          <w:szCs w:val="28"/>
        </w:rPr>
        <w:t>Свидетельство о государственной аккредитации:</w:t>
      </w:r>
      <w:r>
        <w:rPr>
          <w:rFonts w:eastAsia="Times New Roman" w:cs="Times New Roman" w:ascii="Times New Roman" w:hAnsi="Times New Roman"/>
          <w:sz w:val="28"/>
          <w:szCs w:val="28"/>
        </w:rPr>
        <w:t xml:space="preserve"> </w:t>
      </w:r>
      <w:r>
        <w:rPr>
          <w:rFonts w:eastAsia="Segoe UI Symbol" w:cs="Times New Roman" w:ascii="Times New Roman" w:hAnsi="Times New Roman"/>
          <w:sz w:val="28"/>
          <w:szCs w:val="28"/>
        </w:rPr>
        <w:t>№</w:t>
      </w:r>
      <w:r>
        <w:rPr>
          <w:rFonts w:eastAsia="Times New Roman" w:cs="Times New Roman" w:ascii="Times New Roman" w:hAnsi="Times New Roman"/>
          <w:sz w:val="28"/>
          <w:szCs w:val="28"/>
        </w:rPr>
        <w:t>1939 от 22 августа 2016 года.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Конфессиональное представление: </w:t>
      </w:r>
      <w:r>
        <w:rPr>
          <w:rFonts w:eastAsia="Times New Roman" w:cs="Times New Roman" w:ascii="Times New Roman" w:hAnsi="Times New Roman"/>
          <w:sz w:val="28"/>
          <w:szCs w:val="28"/>
        </w:rPr>
        <w:t xml:space="preserve">регистрационный номер КП-16/204 от 27 декабря 2016 года.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 видом деятельности гимназии является реализация основной общеобразовательной программы начального общего образования и воспитании личности младшего школьника в православных традициях. Также гимназия реализует образовательные программы дополнительного образования для детей и взрослых.</w:t>
      </w:r>
    </w:p>
    <w:p>
      <w:pPr>
        <w:pStyle w:val="Normal"/>
        <w:tabs>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Взаимодействие с организациями-партнерами и органами исполнительной власти</w:t>
      </w:r>
    </w:p>
    <w:p>
      <w:pPr>
        <w:pStyle w:val="Normal"/>
        <w:numPr>
          <w:ilvl w:val="0"/>
          <w:numId w:val="1"/>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Договор оказания услуги по предоставлению горячего питания от 01 сентября 2021 года с муниципальным автономным общеобразовательным учреждением «Образовательный центр-гимназия </w:t>
      </w:r>
      <w:r>
        <w:rPr>
          <w:rFonts w:eastAsia="Segoe UI Symbol" w:cs="Times New Roman" w:ascii="Times New Roman" w:hAnsi="Times New Roman"/>
          <w:sz w:val="28"/>
          <w:szCs w:val="28"/>
        </w:rPr>
        <w:t>№</w:t>
      </w:r>
      <w:r>
        <w:rPr>
          <w:rFonts w:eastAsia="Times New Roman" w:cs="Times New Roman" w:ascii="Times New Roman" w:hAnsi="Times New Roman"/>
          <w:sz w:val="28"/>
          <w:szCs w:val="28"/>
        </w:rPr>
        <w:t>6 «Горностай» г. Новосибирск, действующий по 30 июня 2022 года включительно.</w:t>
      </w:r>
    </w:p>
    <w:p>
      <w:pPr>
        <w:pStyle w:val="Normal"/>
        <w:numPr>
          <w:ilvl w:val="0"/>
          <w:numId w:val="1"/>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Договор о сотрудничестве между образовательной организацией и медицинской организацией государственное бюджетное учреждение здравоохранения Новосибирской области «Городская клиническая поликлиника </w:t>
      </w:r>
      <w:r>
        <w:rPr>
          <w:rFonts w:eastAsia="Segoe UI Symbol" w:cs="Times New Roman" w:ascii="Times New Roman" w:hAnsi="Times New Roman"/>
          <w:sz w:val="28"/>
          <w:szCs w:val="28"/>
        </w:rPr>
        <w:t>№</w:t>
      </w:r>
      <w:r>
        <w:rPr>
          <w:rFonts w:eastAsia="Times New Roman" w:cs="Times New Roman" w:ascii="Times New Roman" w:hAnsi="Times New Roman"/>
          <w:sz w:val="28"/>
          <w:szCs w:val="28"/>
        </w:rPr>
        <w:t xml:space="preserve"> 14» по оказанию первичной медико-санитарной помощи обучающимся от 01 сентября 2021года, действующий до 30.08.2022 года.</w:t>
      </w:r>
    </w:p>
    <w:p>
      <w:pPr>
        <w:pStyle w:val="Normal"/>
        <w:numPr>
          <w:ilvl w:val="0"/>
          <w:numId w:val="1"/>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Договор № 1996415 с ООО «Минводы Боржоми» на поставу питьевой воды от 17 ноября 2020г.</w:t>
      </w:r>
    </w:p>
    <w:p>
      <w:pPr>
        <w:pStyle w:val="Normal"/>
        <w:numPr>
          <w:ilvl w:val="0"/>
          <w:numId w:val="1"/>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Соглашение </w:t>
      </w:r>
      <w:r>
        <w:rPr>
          <w:rFonts w:eastAsia="Segoe UI Symbol" w:cs="Times New Roman" w:ascii="Times New Roman" w:hAnsi="Times New Roman"/>
          <w:sz w:val="28"/>
          <w:szCs w:val="28"/>
        </w:rPr>
        <w:t>№</w:t>
      </w:r>
      <w:r>
        <w:rPr>
          <w:rFonts w:eastAsia="Times New Roman" w:cs="Times New Roman" w:ascii="Times New Roman" w:hAnsi="Times New Roman"/>
          <w:sz w:val="28"/>
          <w:szCs w:val="28"/>
        </w:rPr>
        <w:t xml:space="preserve"> 2-НГ от 30 декабря 2021 года с Министерством образования Новосибирской области о предоставлении субсидии из областного бюджета частным дошкольным образовательным организациям, частным общеобразовательным организациям на возмещение затрат, включая расходы на оплату труда, приобретение учебников, учебных пособий, средств обучения, игр, игрушек (за исключением расходов на содержание зданий и оплату коммунальных услуг). Действует до полного исполнения по нему Сторонами своих обязательств.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ListParagraph"/>
        <w:keepNext w:val="true"/>
        <w:keepLines/>
        <w:numPr>
          <w:ilvl w:val="0"/>
          <w:numId w:val="6"/>
        </w:numPr>
        <w:spacing w:lineRule="auto" w:line="240" w:before="0" w:after="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Система управления организацией</w:t>
      </w:r>
    </w:p>
    <w:p>
      <w:pPr>
        <w:pStyle w:val="ListParagraph"/>
        <w:keepNext w:val="true"/>
        <w:keepLines/>
        <w:spacing w:lineRule="auto" w:line="240" w:before="0" w:after="0"/>
        <w:ind w:left="1429"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rPr>
          <w:rFonts w:ascii="Times New Roman" w:hAnsi="Times New Roman" w:eastAsia="Calibri" w:cs="Times New Roman"/>
          <w:sz w:val="28"/>
          <w:szCs w:val="28"/>
          <w:lang w:val="en-US"/>
        </w:rPr>
      </w:pPr>
      <w:r>
        <w:rPr>
          <w:rFonts w:eastAsia="Times New Roman" w:cs="Times New Roman" w:ascii="Times New Roman" w:hAnsi="Times New Roman"/>
          <w:sz w:val="28"/>
          <w:szCs w:val="28"/>
        </w:rPr>
        <w:t>Управление осуществляется на принципах:</w:t>
      </w:r>
      <w:r>
        <w:rPr>
          <w:rFonts w:eastAsia="Calibri" w:cs="Times New Roman" w:ascii="Times New Roman" w:hAnsi="Times New Roman"/>
          <w:sz w:val="28"/>
          <w:szCs w:val="28"/>
        </w:rPr>
        <w:t xml:space="preserve"> </w:t>
      </w:r>
    </w:p>
    <w:p>
      <w:pPr>
        <w:pStyle w:val="Normal"/>
        <w:spacing w:lineRule="auto" w:line="240" w:before="0" w:after="0"/>
        <w:ind w:firstLine="709"/>
        <w:rPr>
          <w:rFonts w:ascii="Times New Roman" w:hAnsi="Times New Roman" w:eastAsia="Calibri" w:cs="Times New Roman"/>
          <w:sz w:val="28"/>
          <w:szCs w:val="28"/>
        </w:rPr>
      </w:pPr>
      <w:r>
        <w:rPr/>
        <w:object>
          <v:shape id="ole_rId3" style="width:449.25pt;height:481.5pt" o:ole="">
            <v:imagedata r:id="rId4" o:title=""/>
          </v:shape>
          <o:OLEObject Type="Embed" ProgID="StaticMetafile" ShapeID="ole_rId3" DrawAspect="Content" ObjectID="_2069980589" r:id="rId3"/>
        </w:objec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Уставу гимназии, Учредитель осуществляет надзор за деятельностью гимназии, принятием органами управления решений и обеспечением их исполнения, использованием средств, соблюдением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Единоличным исполнительным органом гимназии является директор. Директор назначается на должность Учредителем гимназии сроком на пять лет. Директор осуществляет текущее руководство деятельностью гимназии и подотчетен Учредителю. Духовное руководство воспитательным процессом осуществляет духовник гимназии.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гимназии формируются коллегиальные органы управления: попечительский совет гимназии, педагогический совет гимназии, общее собрание работников гимназии, родительский совет. Председателем Попечительского совета является настоятель местной православной религиозной организации «Приход в честь Рождества Пресвятой Богородицы» Академгородка (Советского района) г. Новосибирска Новосибирской Епархии Русской Православной Церкви (Московский Патриархат)». </w:t>
      </w:r>
    </w:p>
    <w:p>
      <w:pPr>
        <w:pStyle w:val="Normal"/>
        <w:spacing w:lineRule="auto" w:line="240" w:before="0" w:after="0"/>
        <w:ind w:firstLine="709"/>
        <w:jc w:val="both"/>
        <w:rPr>
          <w:rFonts w:ascii="Times New Roman" w:hAnsi="Times New Roman" w:eastAsia="Times New Roman" w:cs="Times New Roman"/>
          <w:sz w:val="28"/>
          <w:szCs w:val="28"/>
        </w:rPr>
      </w:pPr>
      <w:r>
        <w:rPr>
          <w:rFonts w:cs="Times New Roman" w:ascii="Times New Roman" w:hAnsi="Times New Roman"/>
          <w:sz w:val="28"/>
          <w:szCs w:val="28"/>
        </w:rPr>
        <w:t>Педагогический совет гимназии является постоянно действующим коллегиальным органом управления, решающим основные вопросы образовательного процесса. Общее собрание работников гимназии собирается директором не реже одного раза в год со сроком полномочий на один учебный год для решения важных вопросов жизнедеятельности гимназии, затрагивающих интересы всех участников образовательного процесса. Родительский совет, который избирается на общем родительском собрании, оказывает содействие администрации гимназии в совершенствовании условий образовательного процесса и в организации работы с родителями.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W w:w="9463"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2198"/>
        <w:gridCol w:w="7264"/>
      </w:tblGrid>
      <w:tr>
        <w:trPr>
          <w:trHeight w:val="1" w:hRule="atLeast"/>
        </w:trPr>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b/>
                <w:sz w:val="28"/>
                <w:szCs w:val="28"/>
              </w:rPr>
              <w:t>Наименования органа</w:t>
            </w:r>
          </w:p>
        </w:tc>
        <w:tc>
          <w:tcPr>
            <w:tcW w:w="7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b/>
                <w:sz w:val="28"/>
                <w:szCs w:val="28"/>
              </w:rPr>
              <w:t>Функции</w:t>
            </w:r>
          </w:p>
        </w:tc>
      </w:tr>
      <w:tr>
        <w:trPr>
          <w:trHeight w:val="1" w:hRule="atLeast"/>
        </w:trPr>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Попечительский совет</w:t>
            </w:r>
          </w:p>
        </w:tc>
        <w:tc>
          <w:tcPr>
            <w:tcW w:w="7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Реализует право работников участвовать в управлении образовательной организацией, в том числе:</w:t>
            </w:r>
          </w:p>
          <w:p>
            <w:pPr>
              <w:pStyle w:val="ListParagraph"/>
              <w:numPr>
                <w:ilvl w:val="0"/>
                <w:numId w:val="7"/>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pStyle w:val="ListParagraph"/>
              <w:numPr>
                <w:ilvl w:val="0"/>
                <w:numId w:val="7"/>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разрешать конфликтные ситуации между работниками, родителями (законными представителями) обучающихся и администрацией образовательной организации;</w:t>
            </w:r>
          </w:p>
          <w:p>
            <w:pPr>
              <w:pStyle w:val="Normal"/>
              <w:numPr>
                <w:ilvl w:val="0"/>
                <w:numId w:val="7"/>
              </w:numPr>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отвечает за материально – техническое обеспечение образовательного процесса;</w:t>
            </w:r>
          </w:p>
          <w:p>
            <w:pPr>
              <w:pStyle w:val="Normal"/>
              <w:numPr>
                <w:ilvl w:val="0"/>
                <w:numId w:val="7"/>
              </w:numPr>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вносить предложения по корректировке плана мероприятий организации, совершенствованию её работы и развитию гимназии. </w:t>
            </w:r>
          </w:p>
        </w:tc>
      </w:tr>
      <w:tr>
        <w:trPr>
          <w:trHeight w:val="1" w:hRule="atLeast"/>
        </w:trPr>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Директор</w:t>
            </w:r>
          </w:p>
        </w:tc>
        <w:tc>
          <w:tcPr>
            <w:tcW w:w="7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Контролирует работу и обеспечивает эффективное взаимодействие внутри коллектива организации; планирует штатное расписание, утверждает отчетные документы организации. Осуществляет общее руководство гимназии. </w:t>
            </w:r>
          </w:p>
        </w:tc>
      </w:tr>
      <w:tr>
        <w:trPr>
          <w:trHeight w:val="1" w:hRule="atLeast"/>
        </w:trPr>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Педагогический совет</w:t>
            </w:r>
          </w:p>
        </w:tc>
        <w:tc>
          <w:tcPr>
            <w:tcW w:w="7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Осуществляет текущее руководство образовательной деятельностью гимназии, в том числе рассматривает вопросы:</w:t>
            </w:r>
          </w:p>
          <w:p>
            <w:pPr>
              <w:pStyle w:val="Normal"/>
              <w:numPr>
                <w:ilvl w:val="0"/>
                <w:numId w:val="2"/>
              </w:numPr>
              <w:spacing w:lineRule="auto" w:line="240" w:before="0" w:after="0"/>
              <w:ind w:left="7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регламентации образовательных отношений;</w:t>
            </w:r>
          </w:p>
          <w:p>
            <w:pPr>
              <w:pStyle w:val="Normal"/>
              <w:numPr>
                <w:ilvl w:val="0"/>
                <w:numId w:val="2"/>
              </w:numPr>
              <w:spacing w:lineRule="auto" w:line="240" w:before="0" w:after="0"/>
              <w:ind w:left="7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осуществляет разработку образовательных программ;</w:t>
            </w:r>
          </w:p>
          <w:p>
            <w:pPr>
              <w:pStyle w:val="Normal"/>
              <w:numPr>
                <w:ilvl w:val="0"/>
                <w:numId w:val="2"/>
              </w:numPr>
              <w:spacing w:lineRule="auto" w:line="240" w:before="0" w:after="0"/>
              <w:ind w:left="7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развития дополнительных образовательных услуг;</w:t>
            </w:r>
          </w:p>
          <w:p>
            <w:pPr>
              <w:pStyle w:val="Normal"/>
              <w:numPr>
                <w:ilvl w:val="0"/>
                <w:numId w:val="2"/>
              </w:numPr>
              <w:spacing w:lineRule="auto" w:line="240" w:before="0" w:after="0"/>
              <w:ind w:left="7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выбора учебников, учебных пособий, средств обучения и воспитания;</w:t>
            </w:r>
          </w:p>
          <w:p>
            <w:pPr>
              <w:pStyle w:val="Normal"/>
              <w:numPr>
                <w:ilvl w:val="0"/>
                <w:numId w:val="2"/>
              </w:numPr>
              <w:spacing w:lineRule="auto" w:line="240" w:before="0" w:after="0"/>
              <w:ind w:left="7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аттестации, повышения квалификации педагогических работников;</w:t>
            </w:r>
          </w:p>
          <w:p>
            <w:pPr>
              <w:pStyle w:val="Normal"/>
              <w:numPr>
                <w:ilvl w:val="0"/>
                <w:numId w:val="2"/>
              </w:numPr>
              <w:spacing w:lineRule="auto" w:line="240" w:before="0" w:after="0"/>
              <w:ind w:left="720" w:hanging="0"/>
              <w:rPr>
                <w:rFonts w:ascii="Times New Roman" w:hAnsi="Times New Roman" w:cs="Times New Roman"/>
                <w:sz w:val="28"/>
                <w:szCs w:val="28"/>
              </w:rPr>
            </w:pPr>
            <w:r>
              <w:rPr>
                <w:rFonts w:eastAsia="Times New Roman" w:cs="Times New Roman" w:ascii="Times New Roman" w:hAnsi="Times New Roman"/>
                <w:sz w:val="28"/>
                <w:szCs w:val="28"/>
              </w:rPr>
              <w:t xml:space="preserve">координации деятельности методических объединений. </w:t>
            </w:r>
          </w:p>
        </w:tc>
      </w:tr>
      <w:tr>
        <w:trPr>
          <w:trHeight w:val="1" w:hRule="atLeast"/>
        </w:trPr>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Внутренняя система оценки качества образования</w:t>
            </w:r>
          </w:p>
        </w:tc>
        <w:tc>
          <w:tcPr>
            <w:tcW w:w="7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Внутригимназический контроль осуществляется администрацией гимназии по плану.</w:t>
            </w:r>
          </w:p>
        </w:tc>
      </w:tr>
      <w:tr>
        <w:trPr>
          <w:trHeight w:val="1" w:hRule="atLeast"/>
        </w:trPr>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Методическое объединение учителей начальной школы</w:t>
            </w:r>
          </w:p>
        </w:tc>
        <w:tc>
          <w:tcPr>
            <w:tcW w:w="7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ind w:firstLine="709"/>
              <w:rPr>
                <w:rFonts w:ascii="Times New Roman" w:hAnsi="Times New Roman" w:eastAsia="Calibri" w:cs="Times New Roman"/>
                <w:sz w:val="28"/>
                <w:szCs w:val="28"/>
              </w:rPr>
            </w:pPr>
            <w:r>
              <w:rPr>
                <w:rFonts w:eastAsia="Calibri" w:cs="Times New Roman" w:ascii="Times New Roman" w:hAnsi="Times New Roman"/>
                <w:b/>
                <w:sz w:val="28"/>
                <w:szCs w:val="28"/>
              </w:rPr>
              <w:t>Цель методической работы:</w:t>
            </w:r>
            <w:r>
              <w:rPr>
                <w:rFonts w:eastAsia="Calibri" w:cs="Times New Roman" w:ascii="Times New Roman" w:hAnsi="Times New Roman"/>
                <w:sz w:val="28"/>
                <w:szCs w:val="28"/>
              </w:rPr>
              <w:t xml:space="preserve"> личностно – ориентированное обучение младших школьников в условиях реализации ФГОС НОО и воспитание личности в православных традициях.</w:t>
            </w:r>
          </w:p>
          <w:p>
            <w:pPr>
              <w:pStyle w:val="Normal"/>
              <w:spacing w:lineRule="auto" w:line="240" w:before="0" w:after="0"/>
              <w:ind w:firstLine="709"/>
              <w:rPr>
                <w:rFonts w:ascii="Times New Roman" w:hAnsi="Times New Roman" w:eastAsia="Calibri" w:cs="Times New Roman"/>
                <w:b/>
                <w:b/>
                <w:sz w:val="28"/>
                <w:szCs w:val="28"/>
              </w:rPr>
            </w:pPr>
            <w:r>
              <w:rPr>
                <w:rFonts w:eastAsia="Calibri" w:cs="Times New Roman" w:ascii="Times New Roman" w:hAnsi="Times New Roman"/>
                <w:b/>
                <w:sz w:val="28"/>
                <w:szCs w:val="28"/>
              </w:rPr>
              <w:t>Задачи работы МО:</w:t>
            </w:r>
          </w:p>
          <w:p>
            <w:pPr>
              <w:pStyle w:val="Normal"/>
              <w:numPr>
                <w:ilvl w:val="0"/>
                <w:numId w:val="3"/>
              </w:numPr>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разработка, дополнение и корректировка программ учебных предметов в соответствии с ФГОС НОО в православных традициях;</w:t>
            </w:r>
          </w:p>
          <w:p>
            <w:pPr>
              <w:pStyle w:val="Normal"/>
              <w:numPr>
                <w:ilvl w:val="0"/>
                <w:numId w:val="3"/>
              </w:numPr>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разработка, дополнение и корректировка программ внеурочной деятельности в соответствии с ФГОС НОО в православных традициях;</w:t>
            </w:r>
          </w:p>
          <w:p>
            <w:pPr>
              <w:pStyle w:val="Normal"/>
              <w:numPr>
                <w:ilvl w:val="0"/>
                <w:numId w:val="3"/>
              </w:numPr>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разработка, дополнение и корректировка программ дополнительного образования;</w:t>
            </w:r>
          </w:p>
          <w:p>
            <w:pPr>
              <w:pStyle w:val="Normal"/>
              <w:numPr>
                <w:ilvl w:val="0"/>
                <w:numId w:val="3"/>
              </w:numPr>
              <w:spacing w:lineRule="auto" w:line="240" w:before="0" w:after="0"/>
              <w:ind w:firstLine="709"/>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повышение профессионального уровня педагогов гимназии через повышение квалификации, систему обучающих семинаров-практикумов, самообразование;</w:t>
            </w:r>
          </w:p>
          <w:p>
            <w:pPr>
              <w:pStyle w:val="ListParagraph"/>
              <w:numPr>
                <w:ilvl w:val="0"/>
                <w:numId w:val="7"/>
              </w:numPr>
              <w:spacing w:lineRule="auto" w:line="240" w:before="0" w:after="0"/>
              <w:contextualSpacing/>
              <w:jc w:val="both"/>
              <w:rPr>
                <w:rFonts w:ascii="Times New Roman" w:hAnsi="Times New Roman" w:eastAsia="Calibri" w:cs="Times New Roman"/>
                <w:b/>
                <w:b/>
                <w:sz w:val="28"/>
                <w:szCs w:val="28"/>
              </w:rPr>
            </w:pPr>
            <w:r>
              <w:rPr>
                <w:rFonts w:eastAsia="Times New Roman" w:cs="Times New Roman" w:ascii="Times New Roman" w:hAnsi="Times New Roman"/>
                <w:sz w:val="28"/>
                <w:szCs w:val="28"/>
              </w:rPr>
              <w:t>совершенствование системы методической работы в гимназии с целью развития педагогического творчества и самореализации инициативы педагогов;</w:t>
            </w:r>
            <w:r>
              <w:rPr>
                <w:rFonts w:eastAsia="Calibri" w:cs="Times New Roman" w:ascii="Times New Roman" w:hAnsi="Times New Roman"/>
                <w:b/>
                <w:sz w:val="28"/>
                <w:szCs w:val="28"/>
              </w:rPr>
              <w:t xml:space="preserve">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b/>
                <w:sz w:val="28"/>
                <w:szCs w:val="28"/>
              </w:rPr>
              <w:t>Методическая тема гимназии:</w:t>
            </w:r>
            <w:r>
              <w:rPr>
                <w:rFonts w:eastAsia="Calibri" w:cs="Times New Roman" w:ascii="Times New Roman" w:hAnsi="Times New Roman"/>
                <w:sz w:val="28"/>
                <w:szCs w:val="28"/>
              </w:rPr>
              <w:t xml:space="preserve"> «Компоненты православного развития в обучении младшего школьника».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709"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c>
      </w:tr>
    </w:tbl>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left" w:pos="284" w:leader="none"/>
        </w:tabs>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istParagraph"/>
        <w:keepNext w:val="true"/>
        <w:keepLines/>
        <w:numPr>
          <w:ilvl w:val="0"/>
          <w:numId w:val="6"/>
        </w:numPr>
        <w:spacing w:lineRule="auto" w:line="240" w:before="0" w:after="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Оценка образовательной деятельности</w:t>
      </w:r>
    </w:p>
    <w:p>
      <w:pPr>
        <w:pStyle w:val="ListParagraph"/>
        <w:keepNext w:val="true"/>
        <w:keepLines/>
        <w:spacing w:lineRule="auto" w:line="240" w:before="0" w:after="0"/>
        <w:ind w:left="1429"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color w:val="2D2D2D"/>
          <w:spacing w:val="2"/>
          <w:sz w:val="28"/>
          <w:szCs w:val="28"/>
        </w:rPr>
      </w:pPr>
      <w:r>
        <w:rPr>
          <w:rFonts w:eastAsia="Times New Roman" w:cs="Times New Roman" w:ascii="Times New Roman" w:hAnsi="Times New Roman"/>
          <w:sz w:val="28"/>
          <w:szCs w:val="28"/>
        </w:rPr>
        <w:t xml:space="preserve">Образовательная деятельность в школе организуется в соответствии с Федеральным законом </w:t>
      </w:r>
      <w:r>
        <w:rPr>
          <w:rFonts w:eastAsia="Times New Roman" w:cs="Times New Roman" w:ascii="Times New Roman" w:hAnsi="Times New Roman"/>
          <w:sz w:val="28"/>
          <w:szCs w:val="28"/>
          <w:u w:val="single"/>
        </w:rPr>
        <w:t xml:space="preserve">от 29.09.2012 </w:t>
      </w:r>
      <w:r>
        <w:rPr>
          <w:rFonts w:eastAsia="Segoe UI Symbol" w:cs="Times New Roman" w:ascii="Times New Roman" w:hAnsi="Times New Roman"/>
          <w:sz w:val="28"/>
          <w:szCs w:val="28"/>
          <w:u w:val="single"/>
        </w:rPr>
        <w:t>№</w:t>
      </w:r>
      <w:r>
        <w:rPr>
          <w:rFonts w:eastAsia="Times New Roman" w:cs="Times New Roman" w:ascii="Times New Roman" w:hAnsi="Times New Roman"/>
          <w:sz w:val="28"/>
          <w:szCs w:val="28"/>
          <w:u w:val="single"/>
        </w:rPr>
        <w:t xml:space="preserve"> 273 – ФЗ</w:t>
      </w:r>
      <w:r>
        <w:rPr>
          <w:rFonts w:eastAsia="Times New Roman" w:cs="Times New Roman" w:ascii="Times New Roman" w:hAnsi="Times New Roman"/>
          <w:sz w:val="28"/>
          <w:szCs w:val="28"/>
        </w:rPr>
        <w:t xml:space="preserve"> «Об образовании в Российской Федерации», </w:t>
      </w:r>
      <w:r>
        <w:rPr>
          <w:rFonts w:eastAsia="Times New Roman" w:cs="Times New Roman" w:ascii="Times New Roman" w:hAnsi="Times New Roman"/>
          <w:sz w:val="28"/>
          <w:szCs w:val="28"/>
          <w:shd w:fill="FFFFFF" w:val="clear"/>
        </w:rPr>
        <w:t xml:space="preserve">Федеральным государственным образовательным стандартом образования обучающихся, </w:t>
      </w:r>
      <w:r>
        <w:rPr>
          <w:rFonts w:eastAsia="Times New Roman" w:cs="Times New Roman" w:ascii="Times New Roman" w:hAnsi="Times New Roman"/>
          <w:sz w:val="28"/>
          <w:szCs w:val="28"/>
        </w:rPr>
        <w:t xml:space="preserve">СанПиН </w:t>
      </w:r>
      <w:r>
        <w:rPr>
          <w:rFonts w:eastAsia="Times New Roman" w:cs="Times New Roman" w:ascii="Times New Roman" w:hAnsi="Times New Roman"/>
          <w:bCs/>
          <w:kern w:val="2"/>
          <w:sz w:val="28"/>
          <w:szCs w:val="28"/>
        </w:rPr>
        <w:t>2.4. 3648-20</w:t>
      </w:r>
      <w:r>
        <w:rPr>
          <w:rFonts w:eastAsia="Times New Roman" w:cs="Arial" w:ascii="Arial" w:hAnsi="Arial"/>
          <w:bCs/>
          <w:kern w:val="2"/>
          <w:sz w:val="27"/>
          <w:szCs w:val="27"/>
        </w:rPr>
        <w:t xml:space="preserve"> </w:t>
      </w:r>
      <w:r>
        <w:rPr>
          <w:rFonts w:eastAsia="Times New Roman" w:cs="Times New Roman" w:ascii="Times New Roman" w:hAnsi="Times New Roman"/>
          <w:spacing w:val="2"/>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pPr>
        <w:pStyle w:val="Normal"/>
        <w:spacing w:lineRule="auto" w:line="240" w:before="0" w:after="0"/>
        <w:ind w:firstLine="709"/>
        <w:jc w:val="both"/>
        <w:rPr>
          <w:rFonts w:ascii="Times New Roman" w:hAnsi="Times New Roman" w:eastAsia="Times New Roman" w:cs="Times New Roman"/>
          <w:color w:val="FF0000"/>
          <w:sz w:val="28"/>
          <w:szCs w:val="28"/>
        </w:rPr>
      </w:pPr>
      <w:r>
        <w:rPr>
          <w:rFonts w:eastAsia="Times New Roman" w:cs="Times New Roman" w:ascii="Times New Roman" w:hAnsi="Times New Roman"/>
          <w:sz w:val="28"/>
          <w:szCs w:val="28"/>
        </w:rPr>
        <w:t>Гимназия с 2019 учебного года осуществляет реализацию общеобразовательных программ:</w:t>
      </w:r>
      <w:r>
        <w:rPr>
          <w:rFonts w:eastAsia="Times New Roman" w:cs="Times New Roman" w:ascii="Times New Roman" w:hAnsi="Times New Roman"/>
          <w:color w:val="FF0000"/>
          <w:sz w:val="28"/>
          <w:szCs w:val="28"/>
        </w:rPr>
        <w:t xml:space="preserve">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Начального общего образования с 1 по 4 классы.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Дополнительное обучение для детей и взрослых.</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связи с этим внесены коррективы в программу развития Гимназии, которая образует целостную систему образовательного процесса и процесса воспитания.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Образовательный процесс является гибким, быстро реагирующим на потребности и запросы участников образовательного процесса, его можно представить как систему дополнительных педагогических действий, нацеленную на успешное освоение уровня начального общего образования ребенка и развитие личности в православных традициях.</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Режим работы образовательного учреждения</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Организация образовательного процесса регламентируется  годовым календарным учебным графиком, согласованным Учредителем Гимназии и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СанПиН </w:t>
      </w:r>
      <w:r>
        <w:rPr>
          <w:rFonts w:eastAsia="Times New Roman" w:cs="Times New Roman" w:ascii="Times New Roman" w:hAnsi="Times New Roman"/>
          <w:bCs/>
          <w:kern w:val="2"/>
          <w:sz w:val="28"/>
          <w:szCs w:val="28"/>
        </w:rPr>
        <w:t>2.4. 3648-20</w:t>
      </w:r>
      <w:r>
        <w:rPr>
          <w:rFonts w:eastAsia="Times New Roman" w:cs="Arial" w:ascii="Arial" w:hAnsi="Arial"/>
          <w:bCs/>
          <w:kern w:val="2"/>
          <w:sz w:val="27"/>
          <w:szCs w:val="27"/>
        </w:rPr>
        <w:t xml:space="preserve"> </w:t>
      </w:r>
      <w:r>
        <w:rPr>
          <w:rFonts w:eastAsia="Times New Roman" w:cs="Times New Roman" w:ascii="Times New Roman" w:hAnsi="Times New Roman"/>
          <w:bCs/>
          <w:kern w:val="2"/>
          <w:sz w:val="27"/>
          <w:szCs w:val="27"/>
        </w:rPr>
        <w:t>от 28.09.2020 г.</w:t>
      </w:r>
      <w:r>
        <w:rPr>
          <w:rFonts w:eastAsia="Times New Roman" w:cs="Times New Roman" w:ascii="Times New Roman" w:hAnsi="Times New Roman"/>
          <w:sz w:val="28"/>
          <w:szCs w:val="28"/>
        </w:rPr>
        <w:t>, Уставом образовательного учреждения, правилами внутреннего трудового распорядка.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Гимназия функционирует ежедневно с 8.00 до 17.00,  выходной – суббота и воскресение. </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Продолжительность учебного года</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учебным планом устанавливается следующая продолжительность учебного года: 1 класс – 33  учебные недели до 25 мая 2022 г., второй класс 34 учебных недели до 27 мая 2022г. На начало учебного года набраны  9 обучающихся в первый -2 человека  и второй класс – 7 человек .</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Продолжительность каникул</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В течение учебного года не менее 28 календарных дней;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Дополнительные каникулы в первых классах не менее 7 календарных дней в середине III четверти;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Учебный год, в соответствии с Уставом гимназии, делится на четыре четверти, с полугодовыми и годовыми отчетами по достижению планируемых результатов в первом и втором классе. В первом классе система оценивания – безотметочная.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Продолжительность учебной недели – 5 дней.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учебном плане отведено 3 часа на предмет «Физическая культура»  с сентября по декабрь, с января по май проводится два часа по физической культуре, один час по физической культуре заменен внеурочной деятельностью на занятия по шахматам.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Между уроками динамические паузы (перемены) по 10 минут, для всех учащихся гимназии обеденный перерыв - 20 минут. Организация горячего  питания для всех учащихся гимназии.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Дополнительные требования при организации обучения в 1 классе: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Используется «ступенчатый» режим обучения: в сентябре, октябре – по 3 урока в день по 30 минут каждый, в ноябре – декабре – по 4 урока в день по 35 минут каждый, в январе – мае – по 4 урока и 1 день в неделю по 40 минут. В первом классе во время уроков организовано проведение гимнастики для глаз и физ. минуток.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Образовательная недельная нагрузка равномерно распределена в течение учебной недели: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для обучающихся 1 классов – не превышает 4 урока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домашние задания не задаются. </w:t>
      </w:r>
    </w:p>
    <w:p>
      <w:pPr>
        <w:pStyle w:val="Normal"/>
        <w:spacing w:lineRule="auto" w:line="240" w:before="0" w:after="0"/>
        <w:ind w:firstLine="709"/>
        <w:jc w:val="center"/>
        <w:rPr>
          <w:rFonts w:ascii="Times New Roman" w:hAnsi="Times New Roman" w:eastAsia="Times New Roman" w:cs="Times New Roman"/>
          <w:b/>
          <w:b/>
          <w:color w:val="2D2D2D"/>
          <w:spacing w:val="2"/>
          <w:sz w:val="28"/>
          <w:szCs w:val="28"/>
        </w:rPr>
      </w:pPr>
      <w:r>
        <w:rPr>
          <w:rFonts w:eastAsia="Times New Roman" w:cs="Times New Roman" w:ascii="Times New Roman" w:hAnsi="Times New Roman"/>
          <w:b/>
          <w:color w:val="2D2D2D"/>
          <w:spacing w:val="2"/>
          <w:sz w:val="28"/>
          <w:szCs w:val="28"/>
        </w:rPr>
      </w:r>
    </w:p>
    <w:p>
      <w:pPr>
        <w:pStyle w:val="Normal"/>
        <w:spacing w:lineRule="auto" w:line="240" w:before="0" w:after="0"/>
        <w:ind w:firstLine="709"/>
        <w:jc w:val="center"/>
        <w:rPr>
          <w:rFonts w:ascii="Times New Roman" w:hAnsi="Times New Roman" w:eastAsia="Times New Roman" w:cs="Times New Roman"/>
          <w:b/>
          <w:b/>
          <w:color w:val="2D2D2D"/>
          <w:spacing w:val="2"/>
          <w:sz w:val="28"/>
          <w:szCs w:val="28"/>
        </w:rPr>
      </w:pPr>
      <w:r>
        <w:rPr>
          <w:rFonts w:eastAsia="Times New Roman" w:cs="Times New Roman" w:ascii="Times New Roman" w:hAnsi="Times New Roman"/>
          <w:b/>
          <w:color w:val="2D2D2D"/>
          <w:spacing w:val="2"/>
          <w:sz w:val="28"/>
          <w:szCs w:val="28"/>
        </w:rPr>
        <w:t>Воспитательная работа</w:t>
      </w:r>
    </w:p>
    <w:p>
      <w:pPr>
        <w:pStyle w:val="Normal"/>
        <w:spacing w:lineRule="auto" w:line="240" w:before="0" w:after="0"/>
        <w:ind w:firstLine="709"/>
        <w:jc w:val="center"/>
        <w:rPr>
          <w:rFonts w:ascii="Times New Roman" w:hAnsi="Times New Roman" w:eastAsia="Times New Roman" w:cs="Times New Roman"/>
          <w:b/>
          <w:b/>
          <w:color w:val="2D2D2D"/>
          <w:spacing w:val="2"/>
          <w:sz w:val="28"/>
          <w:szCs w:val="28"/>
        </w:rPr>
      </w:pPr>
      <w:r>
        <w:rPr>
          <w:rFonts w:eastAsia="Times New Roman" w:cs="Times New Roman" w:ascii="Times New Roman" w:hAnsi="Times New Roman"/>
          <w:b/>
          <w:color w:val="2D2D2D"/>
          <w:spacing w:val="2"/>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Воспитательная работа в гимназии ведется по направлению социального взаимодействия обучающихся друг с другом внутри классного коллектива; социального взаимодействия обучающихся с педагогами; взаимодействия обучающихся и родителей на общегимназических, внеурочных мероприятиях. </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t xml:space="preserve">В целом воспитательная работа в гимназии реализовывается во внеурочной деятельности направленная на духовно-нравственное  развитие обучающихся. </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Задачи воспитательной работы:</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4"/>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Совершенствование дополнительных условий для успешного обучения и воспитания воспитанников гимназии;</w:t>
      </w:r>
    </w:p>
    <w:p>
      <w:pPr>
        <w:pStyle w:val="Normal"/>
        <w:numPr>
          <w:ilvl w:val="0"/>
          <w:numId w:val="4"/>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Совершенствование системы воспитательной работы в классных коллективах; </w:t>
      </w:r>
    </w:p>
    <w:p>
      <w:pPr>
        <w:pStyle w:val="Normal"/>
        <w:numPr>
          <w:ilvl w:val="0"/>
          <w:numId w:val="4"/>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Приобщение воспитанников гимназии к духовным ценностям православного компонента, к его национальной культуре, языку, к православным традициям и обычаям;</w:t>
      </w:r>
    </w:p>
    <w:p>
      <w:pPr>
        <w:pStyle w:val="Normal"/>
        <w:numPr>
          <w:ilvl w:val="0"/>
          <w:numId w:val="4"/>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Продолжение работы, направленной на сохранение и укрепление здоровья обучающихся, привитие им навыков здорового образа жизни;</w:t>
      </w:r>
    </w:p>
    <w:p>
      <w:pPr>
        <w:pStyle w:val="Normal"/>
        <w:numPr>
          <w:ilvl w:val="0"/>
          <w:numId w:val="4"/>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Дальнейшее развитие и совершенствование системы дополнительного образования и внеурочной деятельности в гимназии.</w:t>
      </w:r>
    </w:p>
    <w:p>
      <w:pPr>
        <w:pStyle w:val="Normal"/>
        <w:spacing w:lineRule="auto" w:line="240" w:before="0" w:after="0"/>
        <w:ind w:left="7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Реализация этих целей и задач предполагает:</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Создание благоприятных условий и возможностей для полноценного духовно-нравственного развития личности, для охраны здоровья и жизни детей;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Создание условий для проявления творческой активности воспитанников в социальных сферах деятельности;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Поддержка исследовательской и проектной деятельности;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Дальнейшее развитие и совершенствование системы дополнительного образования в гимназии;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Координация деятельности и взаимодействие всех звеньев воспитательной системы: базового и дополнительного образования, гимназии и социума, гимназии и семьи.</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Наиболее значимые достижения в воспитательной работе </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ЧОУ «Православная Гимназия Игнатия Брянчанинова»</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Все дети учащихся начальной гимназии приняли участие в праздниках «День матери», «Рождественский утренник», «Прощание с азбукой», «Веселые старты», «Посвящение в гимназисты», «Зарница», в международном конкурсе «Русский медвежонок», в конкурсах детского рисунка совместно с издательством «Русское слово» и др.</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ad"/>
        <w:tblW w:w="10682" w:type="dxa"/>
        <w:jc w:val="left"/>
        <w:tblInd w:w="0" w:type="dxa"/>
        <w:tblCellMar>
          <w:top w:w="0" w:type="dxa"/>
          <w:left w:w="108" w:type="dxa"/>
          <w:bottom w:w="0" w:type="dxa"/>
          <w:right w:w="108" w:type="dxa"/>
        </w:tblCellMar>
        <w:tblLook w:noVBand="1" w:val="04a0" w:noHBand="0" w:lastColumn="0" w:firstColumn="1" w:lastRow="0" w:firstRow="1"/>
      </w:tblPr>
      <w:tblGrid>
        <w:gridCol w:w="1101"/>
        <w:gridCol w:w="4239"/>
        <w:gridCol w:w="2671"/>
        <w:gridCol w:w="2670"/>
      </w:tblGrid>
      <w:tr>
        <w:trPr/>
        <w:tc>
          <w:tcPr>
            <w:tcW w:w="1101" w:type="dxa"/>
            <w:tcBorders/>
            <w:shd w:fill="auto" w:val="clear"/>
          </w:tcPr>
          <w:p>
            <w:pPr>
              <w:pStyle w:val="Normal"/>
              <w:spacing w:lineRule="auto" w:line="240" w:before="0" w:after="0"/>
              <w:jc w:val="center"/>
              <w:rPr>
                <w:rFonts w:ascii="Times New Roman" w:hAnsi="Times New Roman" w:cs="Times New Roman"/>
                <w:sz w:val="28"/>
                <w:szCs w:val="28"/>
              </w:rPr>
            </w:pPr>
            <w:r>
              <w:rPr>
                <w:rFonts w:eastAsia="Calibri" w:cs="Times New Roman" w:eastAsiaTheme="minorHAnsi" w:ascii="Times New Roman" w:hAnsi="Times New Roman"/>
                <w:sz w:val="28"/>
                <w:szCs w:val="28"/>
                <w:lang w:eastAsia="en-US"/>
              </w:rPr>
              <w:t>№</w:t>
            </w:r>
          </w:p>
          <w:p>
            <w:pPr>
              <w:pStyle w:val="Normal"/>
              <w:spacing w:lineRule="auto" w:line="240" w:before="0" w:after="0"/>
              <w:rPr>
                <w:rFonts w:ascii="Times New Roman" w:hAnsi="Times New Roman" w:eastAsia="Times New Roman" w:cs="Times New Roman"/>
                <w:sz w:val="28"/>
                <w:szCs w:val="28"/>
              </w:rPr>
            </w:pPr>
            <w:r>
              <w:rPr>
                <w:rFonts w:eastAsia="Calibri" w:cs="Times New Roman" w:eastAsiaTheme="minorHAnsi" w:ascii="Times New Roman" w:hAnsi="Times New Roman"/>
                <w:sz w:val="28"/>
                <w:szCs w:val="28"/>
                <w:lang w:eastAsia="en-US"/>
              </w:rPr>
              <w:t>п/п</w:t>
            </w:r>
          </w:p>
        </w:tc>
        <w:tc>
          <w:tcPr>
            <w:tcW w:w="4239"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Calibri" w:cs="Times New Roman" w:eastAsiaTheme="minorHAnsi" w:ascii="Times New Roman" w:hAnsi="Times New Roman"/>
                <w:sz w:val="28"/>
                <w:szCs w:val="28"/>
                <w:lang w:eastAsia="en-US"/>
              </w:rPr>
              <w:t>Мероприятие</w:t>
            </w:r>
          </w:p>
        </w:tc>
        <w:tc>
          <w:tcPr>
            <w:tcW w:w="2671"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Calibri" w:cs="Times New Roman" w:eastAsiaTheme="minorHAnsi" w:ascii="Times New Roman" w:hAnsi="Times New Roman"/>
                <w:sz w:val="28"/>
                <w:szCs w:val="28"/>
                <w:lang w:eastAsia="en-US"/>
              </w:rPr>
              <w:t>Кол-во участников</w:t>
            </w:r>
          </w:p>
        </w:tc>
        <w:tc>
          <w:tcPr>
            <w:tcW w:w="2670"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Calibri" w:cs="Times New Roman" w:eastAsiaTheme="minorHAnsi" w:ascii="Times New Roman" w:hAnsi="Times New Roman"/>
                <w:sz w:val="28"/>
                <w:szCs w:val="28"/>
                <w:lang w:eastAsia="en-US"/>
              </w:rPr>
              <w:t>Кол-во победителей и призёров</w:t>
            </w:r>
          </w:p>
        </w:tc>
      </w:tr>
      <w:tr>
        <w:trPr/>
        <w:tc>
          <w:tcPr>
            <w:tcW w:w="1101"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1</w:t>
            </w:r>
          </w:p>
        </w:tc>
        <w:tc>
          <w:tcPr>
            <w:tcW w:w="4239"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«Русский медвежонок»</w:t>
            </w:r>
          </w:p>
        </w:tc>
        <w:tc>
          <w:tcPr>
            <w:tcW w:w="2671"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5</w:t>
            </w:r>
          </w:p>
        </w:tc>
        <w:tc>
          <w:tcPr>
            <w:tcW w:w="2670"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3</w:t>
            </w:r>
          </w:p>
        </w:tc>
      </w:tr>
      <w:tr>
        <w:trPr/>
        <w:tc>
          <w:tcPr>
            <w:tcW w:w="1101"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2</w:t>
            </w:r>
          </w:p>
        </w:tc>
        <w:tc>
          <w:tcPr>
            <w:tcW w:w="4239"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Calibri" w:cs="Times New Roman" w:eastAsiaTheme="minorHAnsi" w:ascii="Times New Roman" w:hAnsi="Times New Roman"/>
                <w:sz w:val="28"/>
                <w:szCs w:val="28"/>
                <w:lang w:eastAsia="en-US"/>
              </w:rPr>
              <w:t>Олимпиады совместно с Яндекс Учебник</w:t>
            </w:r>
          </w:p>
        </w:tc>
        <w:tc>
          <w:tcPr>
            <w:tcW w:w="2671"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8</w:t>
            </w:r>
          </w:p>
        </w:tc>
        <w:tc>
          <w:tcPr>
            <w:tcW w:w="2670" w:type="dxa"/>
            <w:tcBorders/>
            <w:shd w:fill="auto" w:val="clear"/>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t>3</w:t>
            </w:r>
          </w:p>
        </w:tc>
      </w:tr>
    </w:tbl>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течении года дети с родителями принимали участия в праздничных Богослужениях. </w:t>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Сведения о численности учащихся занимающихся во внеурочной деятельности</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2021 – 2022 учебном году</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455" w:type="dxa"/>
        <w:jc w:val="left"/>
        <w:tblInd w:w="202"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1" w:type="dxa"/>
          <w:bottom w:w="0" w:type="dxa"/>
          <w:right w:w="106" w:type="dxa"/>
        </w:tblCellMar>
        <w:tblLook w:noVBand="0" w:val="0000" w:noHBand="0" w:lastColumn="0" w:firstColumn="0" w:lastRow="0" w:firstRow="0"/>
      </w:tblPr>
      <w:tblGrid>
        <w:gridCol w:w="5351"/>
        <w:gridCol w:w="2403"/>
        <w:gridCol w:w="1701"/>
      </w:tblGrid>
      <w:tr>
        <w:trPr>
          <w:trHeight w:val="322" w:hRule="atLeast"/>
        </w:trPr>
        <w:tc>
          <w:tcPr>
            <w:tcW w:w="5351" w:type="dxa"/>
            <w:vMerge w:val="restart"/>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Численность учащихся по направлениям дополнительных общеобразовательных программ</w:t>
            </w:r>
          </w:p>
        </w:tc>
        <w:tc>
          <w:tcPr>
            <w:tcW w:w="2403" w:type="dxa"/>
            <w:vMerge w:val="restart"/>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Численность учащихся (занимающихся),</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всего</w:t>
            </w:r>
          </w:p>
        </w:tc>
        <w:tc>
          <w:tcPr>
            <w:tcW w:w="1701" w:type="dxa"/>
            <w:vMerge w:val="restart"/>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Из них девочки</w:t>
            </w:r>
          </w:p>
        </w:tc>
      </w:tr>
      <w:tr>
        <w:trPr>
          <w:trHeight w:val="522" w:hRule="atLeast"/>
        </w:trPr>
        <w:tc>
          <w:tcPr>
            <w:tcW w:w="5351" w:type="dxa"/>
            <w:vMerge w:val="continue"/>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2403" w:type="dxa"/>
            <w:vMerge w:val="continue"/>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vAlign w:val="cente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701" w:type="dxa"/>
            <w:vMerge w:val="continue"/>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vAlign w:val="cente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535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firstLine="709"/>
              <w:jc w:val="center"/>
              <w:rPr>
                <w:rFonts w:ascii="Times New Roman" w:hAnsi="Times New Roman" w:cs="Times New Roman"/>
                <w:sz w:val="28"/>
                <w:szCs w:val="28"/>
              </w:rPr>
            </w:pPr>
            <w:r>
              <w:rPr>
                <w:rFonts w:eastAsia="Times New Roman" w:cs="Times New Roman" w:ascii="Times New Roman" w:hAnsi="Times New Roman"/>
                <w:b/>
                <w:sz w:val="28"/>
                <w:szCs w:val="28"/>
              </w:rPr>
              <w:t>Духовно-нравственное:</w:t>
            </w:r>
          </w:p>
        </w:tc>
        <w:tc>
          <w:tcPr>
            <w:tcW w:w="240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70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535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r>
              <w:rPr>
                <w:rFonts w:eastAsia="Times New Roman" w:cs="Times New Roman" w:ascii="Times New Roman" w:hAnsi="Times New Roman"/>
                <w:sz w:val="28"/>
                <w:szCs w:val="28"/>
              </w:rPr>
              <w:t>Основы православной культуры»</w:t>
            </w:r>
          </w:p>
        </w:tc>
        <w:tc>
          <w:tcPr>
            <w:tcW w:w="240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8</w:t>
            </w:r>
          </w:p>
        </w:tc>
        <w:tc>
          <w:tcPr>
            <w:tcW w:w="170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w:t>
            </w:r>
          </w:p>
        </w:tc>
      </w:tr>
      <w:tr>
        <w:trPr/>
        <w:tc>
          <w:tcPr>
            <w:tcW w:w="535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«Церковный хор»</w:t>
            </w:r>
          </w:p>
        </w:tc>
        <w:tc>
          <w:tcPr>
            <w:tcW w:w="240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8</w:t>
            </w:r>
          </w:p>
        </w:tc>
        <w:tc>
          <w:tcPr>
            <w:tcW w:w="170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w:t>
            </w:r>
          </w:p>
        </w:tc>
      </w:tr>
      <w:tr>
        <w:trPr/>
        <w:tc>
          <w:tcPr>
            <w:tcW w:w="535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«Каллиграфия»</w:t>
            </w:r>
          </w:p>
        </w:tc>
        <w:tc>
          <w:tcPr>
            <w:tcW w:w="240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8</w:t>
            </w:r>
          </w:p>
        </w:tc>
        <w:tc>
          <w:tcPr>
            <w:tcW w:w="170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w:t>
            </w:r>
          </w:p>
        </w:tc>
      </w:tr>
      <w:tr>
        <w:trPr/>
        <w:tc>
          <w:tcPr>
            <w:tcW w:w="535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firstLine="709"/>
              <w:jc w:val="center"/>
              <w:rPr>
                <w:rFonts w:ascii="Times New Roman" w:hAnsi="Times New Roman" w:eastAsia="Times New Roman" w:cs="Times New Roman"/>
                <w:sz w:val="28"/>
                <w:szCs w:val="28"/>
              </w:rPr>
            </w:pPr>
            <w:r>
              <w:rPr>
                <w:rFonts w:cs="Times New Roman" w:ascii="Times New Roman" w:hAnsi="Times New Roman"/>
                <w:b/>
                <w:spacing w:val="-2"/>
                <w:sz w:val="28"/>
                <w:szCs w:val="28"/>
              </w:rPr>
              <w:t>Социальное:</w:t>
            </w:r>
          </w:p>
        </w:tc>
        <w:tc>
          <w:tcPr>
            <w:tcW w:w="240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70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535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ind w:firstLine="709"/>
              <w:jc w:val="center"/>
              <w:rPr>
                <w:rFonts w:ascii="Times New Roman" w:hAnsi="Times New Roman" w:cs="Times New Roman"/>
                <w:spacing w:val="-2"/>
                <w:sz w:val="28"/>
                <w:szCs w:val="28"/>
              </w:rPr>
            </w:pPr>
            <w:r>
              <w:rPr>
                <w:rFonts w:cs="Times New Roman" w:ascii="Times New Roman" w:hAnsi="Times New Roman"/>
                <w:spacing w:val="-2"/>
                <w:sz w:val="28"/>
                <w:szCs w:val="28"/>
              </w:rPr>
              <w:t>«Деревце добрых дел»</w:t>
            </w:r>
          </w:p>
        </w:tc>
        <w:tc>
          <w:tcPr>
            <w:tcW w:w="2403"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8</w:t>
            </w:r>
          </w:p>
        </w:tc>
        <w:tc>
          <w:tcPr>
            <w:tcW w:w="1701"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w:t>
            </w:r>
          </w:p>
        </w:tc>
      </w:tr>
      <w:tr>
        <w:trPr/>
        <w:tc>
          <w:tcPr>
            <w:tcW w:w="535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709"/>
              <w:jc w:val="center"/>
              <w:rPr>
                <w:rFonts w:ascii="Times New Roman" w:hAnsi="Times New Roman" w:cs="Times New Roman"/>
                <w:sz w:val="28"/>
                <w:szCs w:val="28"/>
              </w:rPr>
            </w:pPr>
            <w:r>
              <w:rPr>
                <w:rFonts w:eastAsia="Times New Roman" w:cs="Times New Roman" w:ascii="Times New Roman" w:hAnsi="Times New Roman"/>
                <w:b/>
                <w:sz w:val="28"/>
                <w:szCs w:val="28"/>
              </w:rPr>
              <w:t>Общеразвивающие:</w:t>
            </w:r>
          </w:p>
        </w:tc>
        <w:tc>
          <w:tcPr>
            <w:tcW w:w="2403"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535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«Развитие познавательных способностей»</w:t>
            </w:r>
          </w:p>
        </w:tc>
        <w:tc>
          <w:tcPr>
            <w:tcW w:w="2403"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70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r>
      <w:tr>
        <w:trPr/>
        <w:tc>
          <w:tcPr>
            <w:tcW w:w="535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«Развитие речи»</w:t>
            </w:r>
          </w:p>
        </w:tc>
        <w:tc>
          <w:tcPr>
            <w:tcW w:w="2403"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70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r>
      <w:tr>
        <w:trPr/>
        <w:tc>
          <w:tcPr>
            <w:tcW w:w="535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Спортивное:</w:t>
            </w:r>
          </w:p>
        </w:tc>
        <w:tc>
          <w:tcPr>
            <w:tcW w:w="240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535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«Шахматы»</w:t>
            </w:r>
          </w:p>
        </w:tc>
        <w:tc>
          <w:tcPr>
            <w:tcW w:w="240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170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r>
      <w:tr>
        <w:trPr/>
        <w:tc>
          <w:tcPr>
            <w:tcW w:w="535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Общекультурное:</w:t>
            </w:r>
          </w:p>
        </w:tc>
        <w:tc>
          <w:tcPr>
            <w:tcW w:w="240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535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68" w:before="0" w:after="0"/>
              <w:ind w:left="268" w:hanging="0"/>
              <w:rPr>
                <w:rFonts w:ascii="Times New Roman" w:hAnsi="Times New Roman" w:cs="Times New Roman"/>
                <w:sz w:val="28"/>
                <w:szCs w:val="28"/>
              </w:rPr>
            </w:pPr>
            <w:r>
              <w:rPr>
                <w:rFonts w:eastAsia="Times New Roman" w:cs="Times New Roman" w:ascii="Times New Roman" w:hAnsi="Times New Roman"/>
                <w:spacing w:val="-2"/>
                <w:sz w:val="28"/>
                <w:szCs w:val="28"/>
                <w:lang w:eastAsia="en-US"/>
              </w:rPr>
              <w:t>«Подготовка</w:t>
            </w:r>
            <w:r>
              <w:rPr>
                <w:rFonts w:eastAsia="Times New Roman" w:cs="Times New Roman" w:ascii="Times New Roman" w:hAnsi="Times New Roman"/>
                <w:spacing w:val="-7"/>
                <w:sz w:val="28"/>
                <w:szCs w:val="28"/>
                <w:lang w:eastAsia="en-US"/>
              </w:rPr>
              <w:t xml:space="preserve"> </w:t>
            </w:r>
            <w:r>
              <w:rPr>
                <w:rFonts w:eastAsia="Times New Roman" w:cs="Times New Roman" w:ascii="Times New Roman" w:hAnsi="Times New Roman"/>
                <w:spacing w:val="-10"/>
                <w:sz w:val="28"/>
                <w:szCs w:val="28"/>
                <w:lang w:eastAsia="en-US"/>
              </w:rPr>
              <w:t xml:space="preserve">к </w:t>
            </w:r>
            <w:r>
              <w:rPr>
                <w:rFonts w:eastAsia="Times New Roman" w:cs="Times New Roman" w:ascii="Times New Roman" w:hAnsi="Times New Roman"/>
                <w:spacing w:val="-2"/>
                <w:sz w:val="28"/>
                <w:szCs w:val="28"/>
                <w:lang w:eastAsia="en-US"/>
              </w:rPr>
              <w:t>праздникам»</w:t>
            </w:r>
          </w:p>
        </w:tc>
        <w:tc>
          <w:tcPr>
            <w:tcW w:w="2403"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1701"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r>
    </w:tbl>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shd w:fill="FFFF00" w:val="clear"/>
        </w:rPr>
      </w:r>
    </w:p>
    <w:p>
      <w:pPr>
        <w:pStyle w:val="ListParagraph"/>
        <w:numPr>
          <w:ilvl w:val="0"/>
          <w:numId w:val="6"/>
        </w:numPr>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Содержание и качество подготовки учащихся, обучающихся </w:t>
      </w:r>
    </w:p>
    <w:tbl>
      <w:tblPr>
        <w:tblW w:w="8624" w:type="dxa"/>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695"/>
        <w:gridCol w:w="4279"/>
        <w:gridCol w:w="1895"/>
        <w:gridCol w:w="1754"/>
      </w:tblGrid>
      <w:tr>
        <w:trPr>
          <w:trHeight w:val="1" w:hRule="atLeast"/>
        </w:trPr>
        <w:tc>
          <w:tcPr>
            <w:tcW w:w="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Segoe UI Symbol" w:cs="Times New Roman" w:ascii="Times New Roman" w:hAnsi="Times New Roman"/>
                <w:b/>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п/п</w:t>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Параметры статистики</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2020-2021</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учебный год</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(май)</w:t>
            </w:r>
          </w:p>
        </w:tc>
        <w:tc>
          <w:tcPr>
            <w:tcW w:w="1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2021-2022</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учебный год</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(декабрь)</w:t>
            </w:r>
          </w:p>
        </w:tc>
      </w:tr>
      <w:tr>
        <w:trPr>
          <w:trHeight w:val="1" w:hRule="atLeast"/>
        </w:trPr>
        <w:tc>
          <w:tcPr>
            <w:tcW w:w="6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w:t>
            </w:r>
          </w:p>
        </w:tc>
        <w:tc>
          <w:tcPr>
            <w:tcW w:w="792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b/>
                <w:i/>
                <w:sz w:val="28"/>
                <w:szCs w:val="28"/>
              </w:rPr>
              <w:t>Количество детей обучавшихся на конец учебного года ), в том числе:</w:t>
            </w:r>
          </w:p>
        </w:tc>
      </w:tr>
      <w:tr>
        <w:trPr>
          <w:trHeight w:val="1" w:hRule="atLeast"/>
        </w:trPr>
        <w:tc>
          <w:tcPr>
            <w:tcW w:w="6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 начальная школа</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8</w:t>
            </w:r>
          </w:p>
        </w:tc>
      </w:tr>
      <w:tr>
        <w:trPr>
          <w:trHeight w:val="1" w:hRule="atLeast"/>
        </w:trPr>
        <w:tc>
          <w:tcPr>
            <w:tcW w:w="6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tc>
      </w:tr>
      <w:tr>
        <w:trPr>
          <w:trHeight w:val="1" w:hRule="atLeast"/>
        </w:trPr>
        <w:tc>
          <w:tcPr>
            <w:tcW w:w="6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w:t>
            </w:r>
          </w:p>
        </w:tc>
        <w:tc>
          <w:tcPr>
            <w:tcW w:w="792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b/>
                <w:i/>
                <w:sz w:val="28"/>
                <w:szCs w:val="28"/>
              </w:rPr>
              <w:t>Количество учеников, оставленных на повторное обучение:</w:t>
            </w:r>
          </w:p>
        </w:tc>
      </w:tr>
      <w:tr>
        <w:trPr/>
        <w:tc>
          <w:tcPr>
            <w:tcW w:w="6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 начальная школа</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нет</w:t>
            </w:r>
          </w:p>
        </w:tc>
        <w:tc>
          <w:tcPr>
            <w:tcW w:w="17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нет</w:t>
            </w:r>
          </w:p>
        </w:tc>
      </w:tr>
    </w:tbl>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b/>
          <w:sz w:val="28"/>
          <w:szCs w:val="28"/>
        </w:rPr>
        <w:t>Вывод:</w:t>
      </w:r>
      <w:r>
        <w:rPr>
          <w:rFonts w:eastAsia="Times New Roman" w:cs="Times New Roman" w:ascii="Times New Roman" w:hAnsi="Times New Roman"/>
          <w:sz w:val="28"/>
          <w:szCs w:val="28"/>
        </w:rPr>
        <w:t xml:space="preserve"> необходимо набрать на 2022-2023 учебный год  1, 2, 3, 4  классы. Максимальная наполняемость класса не более 10 человек.</w:t>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Результаты освоения общей образовательной программы начального общего образования</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показателю «успеваемость» в 2021 учебном году</w:t>
      </w:r>
    </w:p>
    <w:p>
      <w:pPr>
        <w:pStyle w:val="Normal"/>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Количество обучающихся на конец 2021-2022 учебного года составило 8 человек. По результатам классно-обобщающего контроля все обучающиеся справляются с учебной программой. Обучение проходит по системе ФГОС НОО направленной на достижение планируемых результатов, в первом классе без отметок.</w:t>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ListParagraph"/>
        <w:keepNext w:val="true"/>
        <w:keepLines/>
        <w:numPr>
          <w:ilvl w:val="0"/>
          <w:numId w:val="6"/>
        </w:numPr>
        <w:spacing w:lineRule="auto" w:line="240"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Внутренняя система оценки качества образования</w:t>
      </w:r>
    </w:p>
    <w:p>
      <w:pPr>
        <w:pStyle w:val="ListParagraph"/>
        <w:keepNext w:val="true"/>
        <w:keepLines/>
        <w:spacing w:lineRule="auto" w:line="240" w:before="0" w:after="0"/>
        <w:ind w:left="1429"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Согласно плану внутришкольного контроля в течение года осуществляется контроль качества в следующих областях: </w:t>
      </w:r>
    </w:p>
    <w:p>
      <w:pPr>
        <w:pStyle w:val="Normal"/>
        <w:numPr>
          <w:ilvl w:val="0"/>
          <w:numId w:val="5"/>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 достижение метапредментных результатов;</w:t>
      </w:r>
    </w:p>
    <w:p>
      <w:pPr>
        <w:pStyle w:val="Normal"/>
        <w:numPr>
          <w:ilvl w:val="0"/>
          <w:numId w:val="5"/>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состоянием освоения знаний, умений и навыков (лист индивидуальных достижений); </w:t>
      </w:r>
    </w:p>
    <w:p>
      <w:pPr>
        <w:pStyle w:val="Normal"/>
        <w:numPr>
          <w:ilvl w:val="0"/>
          <w:numId w:val="5"/>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 состоянием преподавания учебных предметов;</w:t>
      </w:r>
    </w:p>
    <w:p>
      <w:pPr>
        <w:pStyle w:val="Normal"/>
        <w:numPr>
          <w:ilvl w:val="0"/>
          <w:numId w:val="5"/>
        </w:numPr>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 работой педагогических кадров.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Контроль осуществлялся в форме посещения администрацией гимназии на открытых уроков и занятий, анализ документации, анализ промежуточных работ учащихся. 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 адекватность применяемых методик и технологий ожидаемым результатам, выбор формы организации образовательной деятельности, соответствие дидактических средств образовательным возможностям учащихся. Особое внимание уделялось анализу воспитательного компонента в классе и в образовательном пространстве гимназии.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Контроль над уровнем преподавания позволяет сделать вывод о том, что уровень проведения уроков является достаточным. Все предметы учебного плана ведутся грамотно соответствующими специалистами, УМК по предметам отвечают требованиям ФГОС НОО.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Программа развития для каждого обучающегося, определяется методом и формой работы с каждым ребенком. Все результаты диагностики, динамики обучения отражаются в листе индивидуального достижения личностных результатов развития.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ListParagraph"/>
        <w:keepNext w:val="true"/>
        <w:keepLines/>
        <w:numPr>
          <w:ilvl w:val="0"/>
          <w:numId w:val="6"/>
        </w:numPr>
        <w:spacing w:lineRule="auto" w:line="240"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Кадровое обеспечение </w:t>
      </w:r>
    </w:p>
    <w:p>
      <w:pPr>
        <w:pStyle w:val="ListParagraph"/>
        <w:keepNext w:val="true"/>
        <w:keepLines/>
        <w:spacing w:lineRule="auto" w:line="240" w:before="0" w:after="0"/>
        <w:ind w:left="1429"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 xml:space="preserve">В соответствии с планом-графиком поэтапного повышения квалификации педагогов гимназии прошли повышение квалификации по ФГОС НОО (переподготовка, курсы повышение квалификации): 1 человек </w:t>
      </w:r>
      <w:r>
        <w:rPr>
          <w:rFonts w:eastAsia="Times New Roman" w:cs="Times New Roman" w:ascii="Times New Roman" w:hAnsi="Times New Roman"/>
          <w:color w:val="000000"/>
          <w:sz w:val="28"/>
          <w:szCs w:val="28"/>
        </w:rPr>
        <w:t>административно-управленческого персонала и 3 педагога, 2 по совместительству.</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Общее количество педагогов, которым планируется повысить </w:t>
      </w:r>
      <w:r>
        <w:rPr>
          <w:rFonts w:eastAsia="Times New Roman" w:cs="Times New Roman" w:ascii="Times New Roman" w:hAnsi="Times New Roman"/>
          <w:color w:val="000000"/>
          <w:sz w:val="28"/>
          <w:szCs w:val="28"/>
        </w:rPr>
        <w:t>категорию учителя начальных классов.</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 xml:space="preserve">Наличие учителей и специалистов психолого-педагогического сопровождения в штате </w:t>
      </w:r>
    </w:p>
    <w:p>
      <w:pPr>
        <w:pStyle w:val="Normal"/>
        <w:spacing w:lineRule="auto" w:line="240" w:before="0" w:after="0"/>
        <w:ind w:firstLine="709"/>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bl>
      <w:tblPr>
        <w:tblW w:w="10632"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764"/>
        <w:gridCol w:w="1354"/>
        <w:gridCol w:w="2552"/>
        <w:gridCol w:w="2928"/>
        <w:gridCol w:w="1"/>
        <w:gridCol w:w="2033"/>
      </w:tblGrid>
      <w:tr>
        <w:trPr>
          <w:trHeight w:val="1" w:hRule="atLeast"/>
        </w:trPr>
        <w:tc>
          <w:tcPr>
            <w:tcW w:w="17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Показатель</w:t>
            </w:r>
          </w:p>
        </w:tc>
        <w:tc>
          <w:tcPr>
            <w:tcW w:w="13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Количество специалистов</w:t>
            </w:r>
          </w:p>
        </w:tc>
        <w:tc>
          <w:tcPr>
            <w:tcW w:w="54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Уровень образования</w:t>
            </w:r>
          </w:p>
        </w:tc>
        <w:tc>
          <w:tcPr>
            <w:tcW w:w="20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spacing w:lineRule="auto" w:line="240" w:before="0" w:after="0"/>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r>
          </w:p>
        </w:tc>
      </w:tr>
      <w:tr>
        <w:trPr>
          <w:trHeight w:val="1" w:hRule="atLeast"/>
        </w:trPr>
        <w:tc>
          <w:tcPr>
            <w:tcW w:w="17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13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Базовое</w:t>
            </w:r>
          </w:p>
        </w:tc>
        <w:tc>
          <w:tcPr>
            <w:tcW w:w="29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Наличие профессиональной переподготовки</w:t>
            </w:r>
          </w:p>
        </w:tc>
        <w:tc>
          <w:tcPr>
            <w:tcW w:w="2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spacing w:lineRule="auto" w:line="240" w:before="0" w:after="0"/>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Курсы по повышению квалификации</w:t>
            </w:r>
          </w:p>
        </w:tc>
      </w:tr>
      <w:tr>
        <w:trPr>
          <w:trHeight w:val="1" w:hRule="atLeast"/>
        </w:trPr>
        <w:tc>
          <w:tcPr>
            <w:tcW w:w="1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shd w:fill="FFFFFF" w:val="clear"/>
              </w:rPr>
              <w:t>Учитель  начальных классов</w:t>
            </w:r>
          </w:p>
        </w:tc>
        <w:tc>
          <w:tcPr>
            <w:tcW w:w="1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Высшее педагогическое</w:t>
            </w:r>
          </w:p>
        </w:tc>
        <w:tc>
          <w:tcPr>
            <w:tcW w:w="29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2020г</w:t>
            </w:r>
          </w:p>
        </w:tc>
        <w:tc>
          <w:tcPr>
            <w:tcW w:w="2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2021, 2022</w:t>
            </w:r>
          </w:p>
        </w:tc>
      </w:tr>
      <w:tr>
        <w:trPr>
          <w:trHeight w:val="1" w:hRule="atLeast"/>
        </w:trPr>
        <w:tc>
          <w:tcPr>
            <w:tcW w:w="1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shd w:fill="FFFFFF" w:val="clear"/>
              </w:rPr>
              <w:t>Учитель музыки</w:t>
            </w:r>
          </w:p>
        </w:tc>
        <w:tc>
          <w:tcPr>
            <w:tcW w:w="1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Высшее педагогическое</w:t>
            </w:r>
          </w:p>
        </w:tc>
        <w:tc>
          <w:tcPr>
            <w:tcW w:w="29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2021г</w:t>
            </w:r>
          </w:p>
        </w:tc>
      </w:tr>
      <w:tr>
        <w:trPr>
          <w:trHeight w:val="1418" w:hRule="atLeast"/>
        </w:trPr>
        <w:tc>
          <w:tcPr>
            <w:tcW w:w="1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shd w:fill="FFFFFF" w:val="clear"/>
              </w:rPr>
              <w:t>Учитель по внеурочной деятельности ОПК, ОПВ</w:t>
            </w:r>
          </w:p>
        </w:tc>
        <w:tc>
          <w:tcPr>
            <w:tcW w:w="1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Высшее профессиональное</w:t>
            </w:r>
          </w:p>
        </w:tc>
        <w:tc>
          <w:tcPr>
            <w:tcW w:w="29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2019г</w:t>
            </w:r>
          </w:p>
        </w:tc>
      </w:tr>
    </w:tbl>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jc w:val="center"/>
        <w:rPr>
          <w:rFonts w:ascii="Times New Roman" w:hAnsi="Times New Roman" w:eastAsia="Times New Roman" w:cs="Times New Roman"/>
          <w:b/>
          <w:b/>
          <w:color w:val="000000"/>
          <w:sz w:val="28"/>
          <w:szCs w:val="28"/>
          <w:lang w:val="en-US"/>
        </w:rPr>
      </w:pPr>
      <w:r>
        <w:rPr>
          <w:rFonts w:eastAsia="Times New Roman" w:cs="Times New Roman" w:ascii="Times New Roman" w:hAnsi="Times New Roman"/>
          <w:b/>
          <w:color w:val="000000"/>
          <w:sz w:val="28"/>
          <w:szCs w:val="28"/>
        </w:rPr>
        <w:t>Уровень квалификации педагогов</w:t>
      </w:r>
    </w:p>
    <w:p>
      <w:pPr>
        <w:pStyle w:val="Normal"/>
        <w:spacing w:lineRule="auto" w:line="240" w:before="0" w:after="0"/>
        <w:ind w:firstLine="709"/>
        <w:jc w:val="center"/>
        <w:rPr>
          <w:rFonts w:ascii="Times New Roman" w:hAnsi="Times New Roman" w:eastAsia="Times New Roman" w:cs="Times New Roman"/>
          <w:b/>
          <w:b/>
          <w:color w:val="000000"/>
          <w:sz w:val="28"/>
          <w:szCs w:val="28"/>
          <w:lang w:val="en-US"/>
        </w:rPr>
      </w:pPr>
      <w:r>
        <w:rPr>
          <w:rFonts w:eastAsia="Times New Roman" w:cs="Times New Roman" w:ascii="Times New Roman" w:hAnsi="Times New Roman"/>
          <w:b/>
          <w:color w:val="000000"/>
          <w:sz w:val="28"/>
          <w:szCs w:val="28"/>
          <w:lang w:val="en-US"/>
        </w:rPr>
      </w:r>
    </w:p>
    <w:tbl>
      <w:tblPr>
        <w:tblW w:w="973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5574"/>
        <w:gridCol w:w="1713"/>
        <w:gridCol w:w="2443"/>
      </w:tblGrid>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Показатель</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 xml:space="preserve">Количество </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педагогов</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shd w:fill="FFFFFF" w:val="clear"/>
              </w:rPr>
              <w:t>Процент от общего числа педагогов</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Имеют высшее педагогическое образование</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100%</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Имеют средне специальное педагогическое образование</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Не имеют педагогического образования</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Имеют высшее специальное (дефектологическое) образование</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33%</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Имеют профессиональную переподготовку в области специальной педагогики</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Не имеют высшего специального (дефектологического) образования, профессиональной переподготовки в области специальной педагогики, но прошли курсы повышения квалификации в области специальной педагогики</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Имеют высшую квалификационную категорию</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Имеют первую квалификационную категорию</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33%</w:t>
            </w:r>
          </w:p>
        </w:tc>
      </w:tr>
      <w:tr>
        <w:trPr>
          <w:trHeight w:val="1" w:hRule="atLeast"/>
        </w:trPr>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Не имеют квалификационной категории</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66%</w:t>
            </w:r>
          </w:p>
        </w:tc>
      </w:tr>
    </w:tbl>
    <w:p>
      <w:pPr>
        <w:pStyle w:val="Normal"/>
        <w:spacing w:lineRule="auto" w:line="240" w:before="0" w:after="0"/>
        <w:ind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keepNext w:val="true"/>
        <w:keepLines/>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VII. Информационное обеспечение </w:t>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имеет официальный сайт, на котором размещена информация, связанная с ведением и реализацией начального общего образования обучающихся. Через сайт гимназии и другие информационные ресурсы организовывается изучение общественного мнения.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Обеспеченность учебной, учебно-методической и художественной литературой. Библиотечный фонд в 2021-2022 учебном году составил 849 экземпляров, в том числе: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Учебники и учебные пособия - 343 экземпляров;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Художественная литература- 506 экземпляров;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Электронные пособия – 40.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библиотеке также есть Интернет. В этом году начата работа над созданием единой электронной методической базы гимназии, использование которой возможно будет на удаленном расстоянии. В гимназии есть локальная сеть. </w:t>
      </w:r>
    </w:p>
    <w:p>
      <w:pPr>
        <w:pStyle w:val="Normal"/>
        <w:keepNext w:val="true"/>
        <w:keepLines/>
        <w:spacing w:lineRule="auto" w:line="240" w:before="0" w:after="0"/>
        <w:ind w:left="709"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lang w:val="en-US"/>
        </w:rPr>
        <w:t>VIII</w:t>
      </w:r>
      <w:r>
        <w:rPr>
          <w:rFonts w:eastAsia="Times New Roman" w:cs="Times New Roman" w:ascii="Times New Roman" w:hAnsi="Times New Roman"/>
          <w:b/>
          <w:sz w:val="28"/>
          <w:szCs w:val="28"/>
        </w:rPr>
        <w:t>.Материально - техническое обеспечение Гимназии</w:t>
      </w:r>
    </w:p>
    <w:p>
      <w:pPr>
        <w:pStyle w:val="ListParagraph"/>
        <w:keepNext w:val="true"/>
        <w:keepLines/>
        <w:spacing w:lineRule="auto" w:line="240" w:before="0" w:after="0"/>
        <w:ind w:left="1429"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 xml:space="preserve">В Гимназии имеется </w:t>
      </w:r>
      <w:r>
        <w:rPr>
          <w:rFonts w:eastAsia="Times New Roman" w:cs="Times New Roman" w:ascii="Times New Roman" w:hAnsi="Times New Roman"/>
          <w:sz w:val="28"/>
          <w:szCs w:val="28"/>
        </w:rPr>
        <w:t>4 учебных кабинета,</w:t>
      </w:r>
      <w:r>
        <w:rPr>
          <w:rFonts w:eastAsia="Times New Roman" w:cs="Times New Roman" w:ascii="Times New Roman" w:hAnsi="Times New Roman"/>
          <w:color w:val="000000"/>
          <w:sz w:val="28"/>
          <w:szCs w:val="28"/>
        </w:rPr>
        <w:t xml:space="preserve"> спортивный зал, столовая для приема пищи, актовый зал.</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Кроме того, все учебные кабинеты школы оборудованы ПК, в большинстве кабинетах имеются проекторы, экраны, интерактивная доска.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образовательном учреждении имеется медицинский кабинет, а так же класс для занятий по внеурочной деятельности.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гимназии проведена сеть Интернет. Все учебные кабинеты оснащены проекционным оборудованием (экран, проектор, ноутбук или компьютер, экран или интерактивная доска). Для учителей в гимназии созданы условия для безлимитного доступа к сети Интернет. </w:t>
      </w:r>
    </w:p>
    <w:p>
      <w:pPr>
        <w:pStyle w:val="Normal"/>
        <w:spacing w:lineRule="auto" w:line="240" w:before="0" w:after="0"/>
        <w:ind w:firstLine="709"/>
        <w:jc w:val="both"/>
        <w:rPr/>
      </w:pPr>
      <w:r>
        <w:rPr>
          <w:rFonts w:eastAsia="Times New Roman" w:cs="Times New Roman" w:ascii="Times New Roman" w:hAnsi="Times New Roman"/>
          <w:sz w:val="28"/>
          <w:szCs w:val="28"/>
        </w:rPr>
        <w:t xml:space="preserve">Функционирует школьный сайт </w:t>
      </w:r>
      <w:hyperlink r:id="rId5">
        <w:r>
          <w:rPr>
            <w:rStyle w:val="ListLabel12"/>
            <w:rFonts w:eastAsia="Times New Roman" w:cs="Times New Roman" w:ascii="Times New Roman" w:hAnsi="Times New Roman"/>
            <w:color w:val="0000FF"/>
            <w:sz w:val="28"/>
            <w:szCs w:val="28"/>
            <w:u w:val="single"/>
          </w:rPr>
          <w:t>https://www.pravgimn-ignatiy.ru</w:t>
        </w:r>
      </w:hyperlink>
      <w:r>
        <w:rPr>
          <w:rFonts w:eastAsia="Times New Roman"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keepNext w:val="true"/>
        <w:keepLines/>
        <w:spacing w:lineRule="auto" w:line="240" w:before="0" w:after="0"/>
        <w:ind w:left="709"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lang w:val="en-US"/>
        </w:rPr>
        <w:t>IX</w:t>
      </w:r>
      <w:r>
        <w:rPr>
          <w:rFonts w:eastAsia="Times New Roman" w:cs="Times New Roman" w:ascii="Times New Roman" w:hAnsi="Times New Roman"/>
          <w:b/>
          <w:sz w:val="28"/>
          <w:szCs w:val="28"/>
        </w:rPr>
        <w:t>. Результаты анализа показателей образовательной деятельности ЧОУ "Православная Гимназия Игнатия Брянчанинова"</w:t>
      </w:r>
    </w:p>
    <w:p>
      <w:pPr>
        <w:pStyle w:val="ListParagraph"/>
        <w:keepNext w:val="true"/>
        <w:keepLines/>
        <w:spacing w:lineRule="auto" w:line="240" w:before="0" w:after="0"/>
        <w:ind w:left="1429"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37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 w:type="dxa"/>
          <w:bottom w:w="0" w:type="dxa"/>
          <w:right w:w="10" w:type="dxa"/>
        </w:tblCellMar>
        <w:tblLook w:noVBand="0" w:val="0000" w:noHBand="0" w:lastColumn="0" w:firstColumn="0" w:lastRow="0" w:firstRow="0"/>
      </w:tblPr>
      <w:tblGrid>
        <w:gridCol w:w="861"/>
        <w:gridCol w:w="6702"/>
        <w:gridCol w:w="1807"/>
      </w:tblGrid>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N п/п</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 xml:space="preserve">Показатели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 xml:space="preserve">Единица измерения </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w:t>
            </w:r>
          </w:p>
        </w:tc>
        <w:tc>
          <w:tcPr>
            <w:tcW w:w="850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Образовательная деятельность</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Общая численность учащихся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8 человека</w:t>
            </w:r>
          </w:p>
        </w:tc>
      </w:tr>
      <w:tr>
        <w:trPr>
          <w:trHeight w:val="1" w:hRule="atLeast"/>
        </w:trPr>
        <w:tc>
          <w:tcPr>
            <w:tcW w:w="86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1.2</w:t>
            </w:r>
          </w:p>
        </w:tc>
        <w:tc>
          <w:tcPr>
            <w:tcW w:w="8509"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обучающихся по адаптированной основной общеобразовательной программе образования обучающихся </w:t>
            </w:r>
          </w:p>
        </w:tc>
      </w:tr>
      <w:tr>
        <w:trPr>
          <w:trHeight w:val="1" w:hRule="atLeast"/>
        </w:trPr>
        <w:tc>
          <w:tcPr>
            <w:tcW w:w="86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1.2.1</w:t>
            </w:r>
          </w:p>
        </w:tc>
        <w:tc>
          <w:tcPr>
            <w:tcW w:w="6702"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1 – 4 классы</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 человек</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1.5</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принявших участие в различных олимпиадах, смотрах, конкурсах, в общей численности учащихся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8 человека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1" w:hRule="atLeast"/>
        </w:trPr>
        <w:tc>
          <w:tcPr>
            <w:tcW w:w="86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 xml:space="preserve">1.6 </w:t>
            </w:r>
          </w:p>
        </w:tc>
        <w:tc>
          <w:tcPr>
            <w:tcW w:w="8509" w:type="dxa"/>
            <w:gridSpan w:val="2"/>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Численность учащихся-победителей и призеров олимпиад, смотров, конкурсов, в общей численности учащихся, в том числе:</w:t>
            </w:r>
          </w:p>
        </w:tc>
      </w:tr>
      <w:tr>
        <w:trPr>
          <w:trHeight w:val="1" w:hRule="atLeast"/>
        </w:trPr>
        <w:tc>
          <w:tcPr>
            <w:tcW w:w="86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1.7</w:t>
            </w:r>
          </w:p>
        </w:tc>
        <w:tc>
          <w:tcPr>
            <w:tcW w:w="6702"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Регионального уровня</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0 человек</w:t>
            </w:r>
          </w:p>
        </w:tc>
      </w:tr>
      <w:tr>
        <w:trPr>
          <w:trHeight w:val="1" w:hRule="atLeast"/>
        </w:trPr>
        <w:tc>
          <w:tcPr>
            <w:tcW w:w="861"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1.8</w:t>
            </w:r>
          </w:p>
        </w:tc>
        <w:tc>
          <w:tcPr>
            <w:tcW w:w="6702"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Федерального уровня</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0 человек</w:t>
            </w:r>
          </w:p>
        </w:tc>
      </w:tr>
      <w:tr>
        <w:trPr>
          <w:trHeight w:val="1" w:hRule="atLeast"/>
        </w:trPr>
        <w:tc>
          <w:tcPr>
            <w:tcW w:w="86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1.9</w:t>
            </w:r>
          </w:p>
        </w:tc>
        <w:tc>
          <w:tcPr>
            <w:tcW w:w="6702"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Международного уровня</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 человек/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1" w:hRule="atLeast"/>
        </w:trPr>
        <w:tc>
          <w:tcPr>
            <w:tcW w:w="86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1.11</w:t>
            </w:r>
          </w:p>
        </w:tc>
        <w:tc>
          <w:tcPr>
            <w:tcW w:w="6702"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Общая численность педагогических работников, в том числе:</w:t>
            </w:r>
          </w:p>
        </w:tc>
        <w:tc>
          <w:tcPr>
            <w:tcW w:w="1807"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100%</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1.11.1</w:t>
            </w:r>
          </w:p>
        </w:tc>
        <w:tc>
          <w:tcPr>
            <w:tcW w:w="670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имеющих высшее образование, в общей численности педагогических работников </w:t>
            </w:r>
          </w:p>
        </w:tc>
        <w:tc>
          <w:tcPr>
            <w:tcW w:w="1807"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100%</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1.11.2</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100%</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1.11.3</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имеющих среднее профессиональное образование, в общей численности педагогических работников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0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0%</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1.11.4</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0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0%</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1.15</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1человека/</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33%</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1.15.1</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Высшая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1.15.2</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Первая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 человек/ </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33%</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1.16</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в общей численности педагогических работников, педагогический стаж работы которых составляет: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1.16.1</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До 5 лет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 человека/</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66%</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1.16.2</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Свыше 30 лет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0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0%</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1.17</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в общей численности педагогических работников в возрасте до 30 лет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33%</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1.18</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работников в общей численности педагогических работников в возрасте от 55 лет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0 человек</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1.19</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0 человек/</w:t>
            </w:r>
          </w:p>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0%</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1.20</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0</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w:t>
            </w:r>
          </w:p>
        </w:tc>
        <w:tc>
          <w:tcPr>
            <w:tcW w:w="850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b/>
                <w:sz w:val="28"/>
                <w:szCs w:val="28"/>
              </w:rPr>
              <w:t>Инфраструктура</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2.1</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Количество компьютеров в расчете на одного учащегося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0,20 единиц</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2.2</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Количество экземпляров учебной и учебно – методической  литературы из общего количества единиц хранения библиотечного фонда, состоящих на учете, в расчете на одного учащегося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35 единиц</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2.3</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Наличие в образовательной организации системы электронного документооборота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да</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2.4</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Наличие читального зала библиотеки, в том числе: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да</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2.4.1</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С обеспечением возможности работы на стационарных компьютерах или использования переносных компьютеров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нет</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2.4.2</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С медиатекой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нет</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2.4.3</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Оснащенного средствами сканирования и распознавания текстов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нет</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2.4.4</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С выходом в Интернет с компьютеров, расположенных в помещении библиотеки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да</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2.4.5</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С контролируемой распечаткой бумажных материалов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да</w:t>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2.5</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Численность учащихся, которым обеспечена возможность пользоваться широкополосным Интернетом (не менее 2 Мб/с), в общей численности учащихся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 человек/20%</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1" w:hRule="atLeast"/>
        </w:trPr>
        <w:tc>
          <w:tcPr>
            <w:tcW w:w="8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2.6</w:t>
            </w:r>
          </w:p>
        </w:tc>
        <w:tc>
          <w:tcPr>
            <w:tcW w:w="670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000000" w:fill="FFFFFF" w:val="clear"/>
          </w:tcPr>
          <w:p>
            <w:pPr>
              <w:pStyle w:val="Normal"/>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rPr>
              <w:t>153 кв.м</w:t>
            </w:r>
          </w:p>
        </w:tc>
      </w:tr>
    </w:tbl>
    <w:p>
      <w:pPr>
        <w:pStyle w:val="Normal"/>
        <w:spacing w:lineRule="auto" w:line="240" w:before="0" w:after="0"/>
        <w:ind w:firstLine="709"/>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cs="Times New Roman" w:ascii="Times New Roman" w:hAnsi="Times New Roman"/>
          <w:b/>
          <w:sz w:val="28"/>
          <w:szCs w:val="28"/>
          <w:lang w:val="en-US"/>
        </w:rPr>
        <w:t>X</w:t>
      </w:r>
      <w:r>
        <w:rPr>
          <w:rFonts w:cs="Times New Roman" w:ascii="Times New Roman" w:hAnsi="Times New Roman"/>
          <w:b/>
          <w:sz w:val="28"/>
          <w:szCs w:val="28"/>
        </w:rPr>
        <w:t xml:space="preserve">. </w:t>
      </w:r>
      <w:r>
        <w:rPr>
          <w:rFonts w:eastAsia="Times New Roman" w:cs="Times New Roman" w:ascii="Times New Roman" w:hAnsi="Times New Roman"/>
          <w:b/>
          <w:sz w:val="28"/>
          <w:szCs w:val="28"/>
        </w:rPr>
        <w:t>Прогноз дальнейшего пути развития   гимназии</w:t>
      </w:r>
    </w:p>
    <w:p>
      <w:pPr>
        <w:pStyle w:val="Normal"/>
        <w:spacing w:lineRule="auto" w:line="240" w:before="0" w:after="0"/>
        <w:ind w:firstLine="709"/>
        <w:jc w:val="both"/>
        <w:rPr>
          <w:rFonts w:ascii="Times New Roman" w:hAnsi="Times New Roman" w:eastAsia="Times New Roman" w:cs="Times New Roman"/>
          <w:b/>
          <w:b/>
          <w:color w:val="2D2D2D"/>
          <w:spacing w:val="2"/>
          <w:sz w:val="28"/>
          <w:szCs w:val="28"/>
        </w:rPr>
      </w:pPr>
      <w:r>
        <w:rPr>
          <w:rFonts w:eastAsia="Times New Roman" w:cs="Times New Roman" w:ascii="Times New Roman" w:hAnsi="Times New Roman"/>
          <w:b/>
          <w:color w:val="2D2D2D"/>
          <w:spacing w:val="2"/>
          <w:sz w:val="28"/>
          <w:szCs w:val="28"/>
        </w:rPr>
      </w:r>
    </w:p>
    <w:p>
      <w:pPr>
        <w:pStyle w:val="Normal"/>
        <w:spacing w:lineRule="auto" w:line="240" w:before="0" w:after="0"/>
        <w:ind w:firstLine="709"/>
        <w:rPr>
          <w:rFonts w:ascii="Times New Roman" w:hAnsi="Times New Roman" w:eastAsia="Times New Roman" w:cs="Times New Roman"/>
          <w:spacing w:val="2"/>
          <w:sz w:val="28"/>
          <w:szCs w:val="28"/>
        </w:rPr>
      </w:pPr>
      <w:r>
        <w:rPr>
          <w:rFonts w:eastAsia="Times New Roman" w:cs="Times New Roman" w:ascii="Times New Roman" w:hAnsi="Times New Roman"/>
          <w:spacing w:val="2"/>
          <w:sz w:val="28"/>
          <w:szCs w:val="28"/>
        </w:rPr>
        <w:t>Необходимо набрать обучающихся в 1,2,3,4 классы до 10 человек в классе на 2022-2023 учебный год.  Предоставить  выбор внеурочной деятельности для достижения метапредметных результатов и развития личностных способностей. Это позволит обеспечить стабильные качественные результаты в образовательных достижениях гимназии.</w:t>
      </w:r>
    </w:p>
    <w:p>
      <w:pPr>
        <w:pStyle w:val="Normal"/>
        <w:tabs>
          <w:tab w:val="left" w:pos="284" w:leader="none"/>
        </w:tabs>
        <w:spacing w:lineRule="auto" w:line="240" w:before="0" w:after="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auto"/>
    <w:pitch w:val="default"/>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upperRoman"/>
      <w:lvlText w:val="%1."/>
      <w:lvlJc w:val="left"/>
      <w:pPr>
        <w:ind w:left="1428" w:hanging="720"/>
      </w:pPr>
      <w:rPr>
        <w:sz w:val="28"/>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2"/>
      <w:numFmt w:val="bullet"/>
      <w:lvlText w:val=""/>
      <w:lvlJc w:val="left"/>
      <w:pPr>
        <w:ind w:left="720" w:hanging="360"/>
      </w:pPr>
      <w:rPr>
        <w:rFonts w:ascii="Symbol" w:hAnsi="Symbol" w:cs="Symbol"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516b51"/>
    <w:rPr>
      <w:color w:val="0000FF"/>
      <w:u w:val="single"/>
    </w:rPr>
  </w:style>
  <w:style w:type="character" w:styleId="Style15" w:customStyle="1">
    <w:name w:val="Без интервала Знак"/>
    <w:basedOn w:val="DefaultParagraphFont"/>
    <w:link w:val="a5"/>
    <w:uiPriority w:val="1"/>
    <w:qFormat/>
    <w:rsid w:val="00c53d4f"/>
    <w:rPr/>
  </w:style>
  <w:style w:type="character" w:styleId="Style16" w:customStyle="1">
    <w:name w:val="Текст выноски Знак"/>
    <w:basedOn w:val="DefaultParagraphFont"/>
    <w:link w:val="a7"/>
    <w:uiPriority w:val="99"/>
    <w:semiHidden/>
    <w:qFormat/>
    <w:rsid w:val="00c53d4f"/>
    <w:rPr>
      <w:rFonts w:ascii="Tahoma" w:hAnsi="Tahoma" w:cs="Tahoma"/>
      <w:sz w:val="16"/>
      <w:szCs w:val="16"/>
    </w:rPr>
  </w:style>
  <w:style w:type="character" w:styleId="Style17" w:customStyle="1">
    <w:name w:val="Верхний колонтитул Знак"/>
    <w:basedOn w:val="DefaultParagraphFont"/>
    <w:link w:val="a9"/>
    <w:uiPriority w:val="99"/>
    <w:qFormat/>
    <w:rsid w:val="00864e5f"/>
    <w:rPr/>
  </w:style>
  <w:style w:type="character" w:styleId="Style18" w:customStyle="1">
    <w:name w:val="Нижний колонтитул Знак"/>
    <w:basedOn w:val="DefaultParagraphFont"/>
    <w:link w:val="ab"/>
    <w:uiPriority w:val="99"/>
    <w:qFormat/>
    <w:rsid w:val="00864e5f"/>
    <w:rPr/>
  </w:style>
  <w:style w:type="character" w:styleId="ListLabel1">
    <w:name w:val="ListLabel 1"/>
    <w:qFormat/>
    <w:rPr>
      <w:rFonts w:ascii="Times New Roman" w:hAnsi="Times New Roman"/>
      <w:b/>
      <w:sz w:val="28"/>
    </w:rPr>
  </w:style>
  <w:style w:type="character" w:styleId="ListLabel2">
    <w:name w:val="ListLabel 2"/>
    <w:qFormat/>
    <w:rPr>
      <w:rFonts w:ascii="Times New Roman" w:hAnsi="Times New Roman" w:eastAsia="Times New Roman" w:cs="Times New Roman"/>
      <w:b/>
      <w:sz w:val="2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color w:val="auto"/>
      <w:u w:val="none"/>
    </w:rPr>
  </w:style>
  <w:style w:type="character" w:styleId="ListLabel7">
    <w:name w:val="ListLabel 7"/>
    <w:qFormat/>
    <w:rPr>
      <w:rFonts w:eastAsia="" w:eastAsiaTheme="minorEastAsia"/>
      <w:color w:val="auto"/>
      <w:u w:val="none"/>
    </w:rPr>
  </w:style>
  <w:style w:type="character" w:styleId="ListLabel8">
    <w:name w:val="ListLabel 8"/>
    <w:qFormat/>
    <w:rPr>
      <w:vanish/>
      <w:color w:val="auto"/>
      <w:u w:val="none"/>
    </w:rPr>
  </w:style>
  <w:style w:type="character" w:styleId="ListLabel9">
    <w:name w:val="ListLabel 9"/>
    <w:qFormat/>
    <w:rPr>
      <w:rFonts w:eastAsia="Times New Roman"/>
      <w:color w:val="auto"/>
      <w:u w:val="none"/>
      <w:lang w:val="en-US"/>
    </w:rPr>
  </w:style>
  <w:style w:type="character" w:styleId="ListLabel10">
    <w:name w:val="ListLabel 10"/>
    <w:qFormat/>
    <w:rPr>
      <w:rFonts w:eastAsia="Times New Roman"/>
      <w:color w:val="auto"/>
      <w:u w:val="none"/>
    </w:rPr>
  </w:style>
  <w:style w:type="character" w:styleId="ListLabel11">
    <w:name w:val="ListLabel 11"/>
    <w:qFormat/>
    <w:rPr>
      <w:color w:val="auto"/>
      <w:u w:val="none"/>
      <w:lang w:val="en-US"/>
    </w:rPr>
  </w:style>
  <w:style w:type="character" w:styleId="ListLabel12">
    <w:name w:val="ListLabel 12"/>
    <w:qFormat/>
    <w:rPr>
      <w:rFonts w:ascii="Times New Roman" w:hAnsi="Times New Roman" w:eastAsia="Times New Roman" w:cs="Times New Roman"/>
      <w:color w:val="0000FF"/>
      <w:sz w:val="28"/>
      <w:szCs w:val="28"/>
      <w:u w:val="single"/>
    </w:rPr>
  </w:style>
  <w:style w:type="character" w:styleId="Style19">
    <w:name w:val="Посещённая гиперссылка"/>
    <w:rPr>
      <w:color w:val="80000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1">
    <w:name w:val="TOC 1"/>
    <w:basedOn w:val="Normal"/>
    <w:autoRedefine/>
    <w:uiPriority w:val="39"/>
    <w:unhideWhenUsed/>
    <w:rsid w:val="00516b51"/>
    <w:pPr>
      <w:tabs>
        <w:tab w:val="left" w:pos="660" w:leader="none"/>
        <w:tab w:val="right" w:pos="9344" w:leader="dot"/>
      </w:tabs>
      <w:spacing w:before="0" w:after="100"/>
    </w:pPr>
    <w:rPr>
      <w:rFonts w:ascii="Times New Roman" w:hAnsi="Times New Roman" w:eastAsia="Calibri" w:cs="Times New Roman" w:eastAsiaTheme="minorHAnsi"/>
      <w:sz w:val="28"/>
      <w:szCs w:val="28"/>
    </w:rPr>
  </w:style>
  <w:style w:type="paragraph" w:styleId="ListParagraph">
    <w:name w:val="List Paragraph"/>
    <w:basedOn w:val="Normal"/>
    <w:uiPriority w:val="34"/>
    <w:qFormat/>
    <w:rsid w:val="00145f23"/>
    <w:pPr>
      <w:spacing w:before="0" w:after="200"/>
      <w:ind w:left="720" w:hanging="0"/>
      <w:contextualSpacing/>
    </w:pPr>
    <w:rPr/>
  </w:style>
  <w:style w:type="paragraph" w:styleId="NoSpacing">
    <w:name w:val="No Spacing"/>
    <w:link w:val="a6"/>
    <w:uiPriority w:val="1"/>
    <w:qFormat/>
    <w:rsid w:val="00c53d4f"/>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BalloonText">
    <w:name w:val="Balloon Text"/>
    <w:basedOn w:val="Normal"/>
    <w:link w:val="a8"/>
    <w:uiPriority w:val="99"/>
    <w:semiHidden/>
    <w:unhideWhenUsed/>
    <w:qFormat/>
    <w:rsid w:val="00c53d4f"/>
    <w:pPr>
      <w:spacing w:lineRule="auto" w:line="240" w:before="0" w:after="0"/>
    </w:pPr>
    <w:rPr>
      <w:rFonts w:ascii="Tahoma" w:hAnsi="Tahoma" w:cs="Tahoma"/>
      <w:sz w:val="16"/>
      <w:szCs w:val="16"/>
    </w:rPr>
  </w:style>
  <w:style w:type="paragraph" w:styleId="Style25">
    <w:name w:val="Header"/>
    <w:basedOn w:val="Normal"/>
    <w:link w:val="aa"/>
    <w:uiPriority w:val="99"/>
    <w:unhideWhenUsed/>
    <w:rsid w:val="00864e5f"/>
    <w:pPr>
      <w:tabs>
        <w:tab w:val="center" w:pos="4677" w:leader="none"/>
        <w:tab w:val="right" w:pos="9355" w:leader="none"/>
      </w:tabs>
      <w:spacing w:lineRule="auto" w:line="240" w:before="0" w:after="0"/>
    </w:pPr>
    <w:rPr/>
  </w:style>
  <w:style w:type="paragraph" w:styleId="Style26">
    <w:name w:val="Footer"/>
    <w:basedOn w:val="Normal"/>
    <w:link w:val="ac"/>
    <w:uiPriority w:val="99"/>
    <w:unhideWhenUsed/>
    <w:rsid w:val="00864e5f"/>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59"/>
    <w:rsid w:val="005d3be4"/>
    <w:pPr>
      <w:spacing w:after="0" w:line="240" w:lineRule="auto"/>
    </w:pPr>
    <w:rPr>
      <w:rFonts w:eastAsiaTheme="minorHAnsi"/>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emf"/><Relationship Id="rId5" Type="http://schemas.openxmlformats.org/officeDocument/2006/relationships/hyperlink" Target="https://www.pravgimn-ignatiy.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6DBA-94BB-441A-B774-B73552FB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14</Pages>
  <Words>2719</Words>
  <Characters>20353</Characters>
  <CharactersWithSpaces>22788</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2022-07-20T05:19:00Z</dcterms:created>
  <dc:creator>Лозовская</dc:creator>
  <dc:description/>
  <dc:language>ru-RU</dc:language>
  <cp:lastModifiedBy/>
  <cp:lastPrinted>2022-07-20T05:16:00Z</cp:lastPrinted>
  <dcterms:modified xsi:type="dcterms:W3CDTF">2022-07-24T21:13:55Z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