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theme/theme1.xml" ContentType="application/vnd.openxmlformats-officedocument.theme+xml"/>
  <Override PartName="/word/document.xml" ContentType="application/vnd.openxmlformats-officedocument.wordprocessingml.document.main+xml"/>
  <Override PartName="/word/media/image1.png" ContentType="image/pn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Times New Roman" w:hAnsi="Times New Roman" w:cs="Times New Roman"/>
          <w:sz w:val="28"/>
          <w:szCs w:val="28"/>
        </w:rPr>
      </w:pPr>
      <w:r>
        <w:drawing>
          <wp:anchor behindDoc="0" distT="0" distB="0" distL="0" distR="0" simplePos="0" locked="0" layoutInCell="1" allowOverlap="1" relativeHeight="2">
            <wp:simplePos x="0" y="0"/>
            <wp:positionH relativeFrom="page">
              <wp:posOffset>532130</wp:posOffset>
            </wp:positionH>
            <wp:positionV relativeFrom="page">
              <wp:posOffset>600710</wp:posOffset>
            </wp:positionV>
            <wp:extent cx="6620510" cy="9272270"/>
            <wp:effectExtent l="0" t="0" r="0" b="0"/>
            <wp:wrapTopAndBottom/>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620510" cy="9272270"/>
                    </a:xfrm>
                    <a:prstGeom prst="rect">
                      <a:avLst/>
                    </a:prstGeom>
                  </pic:spPr>
                </pic:pic>
              </a:graphicData>
            </a:graphic>
          </wp:anchor>
        </w:drawing>
      </w:r>
      <w:r>
        <w:rPr>
          <w:rFonts w:cs="Times New Roman" w:ascii="Times New Roman" w:hAnsi="Times New Roman"/>
          <w:sz w:val="28"/>
          <w:szCs w:val="28"/>
        </w:rPr>
        <w:t xml:space="preserve"> </w:t>
      </w:r>
      <w:r>
        <w:rPr>
          <w:rFonts w:cs="Times New Roman" w:ascii="Times New Roman" w:hAnsi="Times New Roman"/>
          <w:sz w:val="28"/>
          <w:szCs w:val="28"/>
        </w:rPr>
        <w:t>образовательную деятельность, утвержденными приказом Минобрнауки РФ от 05.12.2014 № 1547;</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Указом Президента Российской Федерации от 07 мая 2018 года № 204 «О национальных целях и стратегических задачах развития Российской Федерации на период до 2024 года»;</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Указом Президента Российской Федерации от 21 июля 2020 года № 474 «О национальных целях развития Российской Федерации на период до 2030 года»</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приказом Рособрнадзора от 30.06.2020 № 710 «Об утверждении Административного регламента осуществления органами государственной власти субъектов Российской Федерации, осуществляющими переданные полномочия Российской Федерации в сфере образования, федерального государственного надзора в сфере образования»;</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приказом Министерства образования Новосибирской области от 25.11.2019 г. № 2977 «Об утверждении Положения о региональной системе оценки качества образования Новосибирской области»;</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приказом департамента образования мэрии города Новосибирска от 23.04.2018 № 0428-од «Об утверждении Положения о муниципальной системе оценки качества образования» (с изменениями);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приказом Минпросвещения РФ от 28.08.2020 №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образования» (с 01.01.2021);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приказом Минпросвещения РФ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(с 01.01.2021);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приказом Минпросвещения РФ от 9 ноября 2018 г. № 196 «Об утверждении Порядка организации и осуществления образовательной деятельности по дополнительным общеобразовательным программам» (с изм. от 30.09.2020);</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приказом Минобрнауки РФ № 882, Минпросвещения РФ № 391 от 05.08.2020 «Об организации и осуществлении образовательной деятельности при сетевой форме реализации образовательных программ» (вступил в силу с 22.09.2020);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приказом департамента образования мэрии г. Новосибирска от 13.09.2019 № 0736 «Об утверждении регламента функционирования муниципальной системы оценки качества образования»;</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ведомственной целевой программой «Качество образования» (Приказ Федеральной службы по надзору в сфере образования и науки от 22.01.2019 № 39);</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приказом Рособрнадзора № 590, Минпросвещения РФ № 219 от 06.05.2019 «Об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письмом Министерства просвещения РФ от 19.11.2020 № ВБ-2141/03 «О методических рекомендациях», «Методические рекомендации по организации образовательного процесса общеобразовательных организаций на уровне основного общего образования на основе результатов Всероссийских проверочных работ, проведенных в сентябре-октябре  2020 г.»;</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письмом ФГБУ «ФИОКО» от 30.04.2020 № 02-20/178 «О направлении материалов по проведению оценки механизмов управления качеством образования в субъектах Российской Федерации»;</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письмом ФГБУ «ФИОКО» от 30.04.2020 № 02-20/178 «О направлении материалов по проведению оценки механизмов управления качеством образования в субъектах Российской Федерации»; </w:t>
      </w:r>
      <w:r>
        <w:rPr>
          <w:rFonts w:eastAsia="Symbol" w:cs="Symbol" w:ascii="Symbol" w:hAnsi="Symbol"/>
          <w:sz w:val="28"/>
          <w:szCs w:val="28"/>
        </w:rPr>
        <w:t></w:t>
      </w:r>
      <w:r>
        <w:rPr>
          <w:rFonts w:cs="Times New Roman" w:ascii="Times New Roman" w:hAnsi="Times New Roman"/>
          <w:sz w:val="28"/>
          <w:szCs w:val="28"/>
        </w:rPr>
        <w:t xml:space="preserve"> письмом министерства образования Новосибирской области от 30.06.2020 № 6159-03/25 «Об участии в вебинарах»;</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письмом Рособрнадзора от 20.04.2021 № 08-70 «О направлении материалов по организации мониторинга системы управления качеством образования органов местного самоуправления»;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письмом министерства образования Новосибирской области от 14.05.2021 № 4525-03/25 «О проведении мониторинга муниципальных механизмов управления качеством»;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Минобрнауки России от 30.08.2013 № 1015;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Федеральным государственным образовательным стандартом (далее — ФГОС) начального общего образования, утвержденным приказом Минобрнауки России от 31.05.2021 № 286;</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уставом частного общеобразовательного учреждения «Православная гимназия во имя святителя Игнатия Брянчанинова»;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положением о промежуточной аттестации и текущем контроле успеваемости обучающихся частного общеобразовательного учреждения «Православная гимназия во имя святителя Игнатия Брянчанинова»                г. Новосибирска; </w:t>
      </w:r>
    </w:p>
    <w:p>
      <w:pPr>
        <w:pStyle w:val="Normal"/>
        <w:rPr>
          <w:rFonts w:ascii="Times New Roman" w:hAnsi="Times New Roman" w:cs="Times New Roman"/>
          <w:sz w:val="28"/>
          <w:szCs w:val="28"/>
        </w:rPr>
      </w:pPr>
      <w:r>
        <w:rPr>
          <w:rFonts w:cs="Times New Roman" w:ascii="Times New Roman" w:hAnsi="Times New Roman"/>
          <w:sz w:val="28"/>
          <w:szCs w:val="28"/>
        </w:rPr>
        <w:t>1.2. Настоящее Положение определяет цели, задачи, принципы, направления, содержание внутренней системы оценки качества образования, её организационную и функциональную структуру и выступает основой для проектирования систем оценки достижения образовательных результатов обучающихся в рамках основных образовательных программ по уровням общего образования.</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1.3. Положение распространяется на деятельность всех участников образовательного процесса, в том числе на педагогических работников гимназии, осуществляющих профессиональную деятельность в соответствии с трудовыми договорами и на педагогических работников, работающих по совместительству.</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1.4. В настоящем Положении используются следующие термины: </w:t>
      </w:r>
    </w:p>
    <w:p>
      <w:pPr>
        <w:pStyle w:val="Normal"/>
        <w:rPr>
          <w:rFonts w:ascii="Times New Roman" w:hAnsi="Times New Roman" w:cs="Times New Roman"/>
          <w:sz w:val="28"/>
          <w:szCs w:val="28"/>
        </w:rPr>
      </w:pPr>
      <w:r>
        <w:rPr>
          <w:rFonts w:cs="Times New Roman" w:ascii="Times New Roman" w:hAnsi="Times New Roman"/>
          <w:b/>
          <w:sz w:val="28"/>
          <w:szCs w:val="28"/>
        </w:rPr>
        <w:t>качество образования</w:t>
      </w:r>
      <w:r>
        <w:rPr>
          <w:rFonts w:cs="Times New Roman" w:ascii="Times New Roman" w:hAnsi="Times New Roman"/>
          <w:sz w:val="28"/>
          <w:szCs w:val="28"/>
        </w:rPr>
        <w:t xml:space="preserve">–комплексная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 </w:t>
      </w:r>
    </w:p>
    <w:p>
      <w:pPr>
        <w:pStyle w:val="Normal"/>
        <w:rPr>
          <w:rFonts w:ascii="Times New Roman" w:hAnsi="Times New Roman" w:cs="Times New Roman"/>
          <w:sz w:val="28"/>
          <w:szCs w:val="28"/>
        </w:rPr>
      </w:pPr>
      <w:r>
        <w:rPr>
          <w:rFonts w:cs="Times New Roman" w:ascii="Times New Roman" w:hAnsi="Times New Roman"/>
          <w:b/>
          <w:sz w:val="28"/>
          <w:szCs w:val="28"/>
        </w:rPr>
        <w:t>оценка</w:t>
      </w:r>
      <w:r>
        <w:rPr>
          <w:rFonts w:cs="Times New Roman" w:ascii="Times New Roman" w:hAnsi="Times New Roman"/>
          <w:sz w:val="28"/>
          <w:szCs w:val="28"/>
        </w:rPr>
        <w:t xml:space="preserve"> — процесс соотнесения результата деятельности или поведения участников образовательного процесса оценивания или хода самой деятельности с заранее заданными эталонами; </w:t>
      </w:r>
    </w:p>
    <w:p>
      <w:pPr>
        <w:pStyle w:val="Normal"/>
        <w:rPr>
          <w:rFonts w:ascii="Times New Roman" w:hAnsi="Times New Roman" w:cs="Times New Roman"/>
          <w:sz w:val="28"/>
          <w:szCs w:val="28"/>
        </w:rPr>
      </w:pPr>
      <w:r>
        <w:rPr>
          <w:rFonts w:cs="Times New Roman" w:ascii="Times New Roman" w:hAnsi="Times New Roman"/>
          <w:b/>
          <w:sz w:val="28"/>
          <w:szCs w:val="28"/>
        </w:rPr>
        <w:t>оценка в системе образования</w:t>
      </w:r>
      <w:r>
        <w:rPr>
          <w:rFonts w:cs="Times New Roman" w:ascii="Times New Roman" w:hAnsi="Times New Roman"/>
          <w:sz w:val="28"/>
          <w:szCs w:val="28"/>
        </w:rPr>
        <w:t xml:space="preserve"> — комплексное аналитическое отслеживание процессов, определяющих количественно-качественные изменения качества образования, результатом которого является установление степени соответствия измеряемых образовательных результатов и условий их достижения общепризнанной, зафиксированной в нормативных документах и локальных актах системе государственно-общественных требований к качеству образования, а также личностным ожиданиям обучающихся; </w:t>
      </w:r>
    </w:p>
    <w:p>
      <w:pPr>
        <w:pStyle w:val="Normal"/>
        <w:rPr>
          <w:rFonts w:ascii="Times New Roman" w:hAnsi="Times New Roman" w:cs="Times New Roman"/>
          <w:sz w:val="28"/>
          <w:szCs w:val="28"/>
        </w:rPr>
      </w:pPr>
      <w:r>
        <w:rPr>
          <w:rFonts w:cs="Times New Roman" w:ascii="Times New Roman" w:hAnsi="Times New Roman"/>
          <w:b/>
          <w:sz w:val="28"/>
          <w:szCs w:val="28"/>
        </w:rPr>
        <w:t>критерий</w:t>
      </w:r>
      <w:r>
        <w:rPr>
          <w:rFonts w:cs="Times New Roman" w:ascii="Times New Roman" w:hAnsi="Times New Roman"/>
          <w:sz w:val="28"/>
          <w:szCs w:val="28"/>
        </w:rPr>
        <w:t xml:space="preserve"> — признак, на основании которого производится оценка, классификация оцениваемого объекта; экспертиза — всестороннее изучение и анализ состояния образовательного процесса, условий и результатов образовательной деятельности; </w:t>
      </w:r>
    </w:p>
    <w:p>
      <w:pPr>
        <w:pStyle w:val="Normal"/>
        <w:rPr>
          <w:rFonts w:ascii="Times New Roman" w:hAnsi="Times New Roman" w:cs="Times New Roman"/>
          <w:sz w:val="28"/>
          <w:szCs w:val="28"/>
        </w:rPr>
      </w:pPr>
      <w:r>
        <w:rPr>
          <w:rFonts w:cs="Times New Roman" w:ascii="Times New Roman" w:hAnsi="Times New Roman"/>
          <w:b/>
          <w:sz w:val="28"/>
          <w:szCs w:val="28"/>
        </w:rPr>
        <w:t>измерение</w:t>
      </w:r>
      <w:r>
        <w:rPr>
          <w:rFonts w:cs="Times New Roman" w:ascii="Times New Roman" w:hAnsi="Times New Roman"/>
          <w:sz w:val="28"/>
          <w:szCs w:val="28"/>
        </w:rPr>
        <w:t xml:space="preserve"> — метод регистрации состояния качества образования, а также оценка уровня образовательных достижений с помощью контрольно-измерительных материалов (контрольных работ, тестов, анкет и др.), которые имеют стандартизированную форму, и содержание которых соответствует реализуемой основной образовательной программе начального общего образования;</w:t>
      </w:r>
    </w:p>
    <w:p>
      <w:pPr>
        <w:pStyle w:val="Normal"/>
        <w:rPr>
          <w:rFonts w:ascii="Times New Roman" w:hAnsi="Times New Roman" w:cs="Times New Roman"/>
          <w:sz w:val="28"/>
          <w:szCs w:val="28"/>
        </w:rPr>
      </w:pPr>
      <w:r>
        <w:rPr>
          <w:rFonts w:cs="Times New Roman" w:ascii="Times New Roman" w:hAnsi="Times New Roman"/>
          <w:b/>
          <w:sz w:val="28"/>
          <w:szCs w:val="28"/>
        </w:rPr>
        <w:t>Внутренняя система оценки качества образования (ВСОКО)</w:t>
      </w:r>
      <w:r>
        <w:rPr>
          <w:rFonts w:cs="Times New Roman" w:ascii="Times New Roman" w:hAnsi="Times New Roman"/>
          <w:sz w:val="28"/>
          <w:szCs w:val="28"/>
        </w:rPr>
        <w:t xml:space="preserve"> — система сбора, обработки, анализа, хранения и распространения информации об образовательной системе образовательной организации и его отдельных элементах,  которая ориентирована на информационное обеспечение управления качеством образования, позволяет судить о состоянии образовательного процесса в любой момент времени и обеспечить возможность прогнозирования её развития;</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b/>
          <w:sz w:val="28"/>
          <w:szCs w:val="28"/>
        </w:rPr>
        <w:t>НОКО</w:t>
      </w:r>
      <w:r>
        <w:rPr>
          <w:rFonts w:cs="Times New Roman" w:ascii="Times New Roman" w:hAnsi="Times New Roman"/>
          <w:sz w:val="28"/>
          <w:szCs w:val="28"/>
        </w:rPr>
        <w:t xml:space="preserve"> — независимая оценка качества образования. Это деятельность официально уполномоченных структур и организаций, направленная на выявление уровня удовлетворенности потребителей качеством предоставляемых образовательных услуг и соответствие качества этих услуг федеральным требованиям; </w:t>
      </w:r>
    </w:p>
    <w:p>
      <w:pPr>
        <w:pStyle w:val="Normal"/>
        <w:rPr>
          <w:rFonts w:ascii="Times New Roman" w:hAnsi="Times New Roman" w:cs="Times New Roman"/>
          <w:sz w:val="28"/>
          <w:szCs w:val="28"/>
        </w:rPr>
      </w:pPr>
      <w:r>
        <w:rPr>
          <w:rFonts w:cs="Times New Roman" w:ascii="Times New Roman" w:hAnsi="Times New Roman"/>
          <w:b/>
          <w:sz w:val="28"/>
          <w:szCs w:val="28"/>
        </w:rPr>
        <w:t>ВШК</w:t>
      </w:r>
      <w:r>
        <w:rPr>
          <w:rFonts w:cs="Times New Roman" w:ascii="Times New Roman" w:hAnsi="Times New Roman"/>
          <w:sz w:val="28"/>
          <w:szCs w:val="28"/>
        </w:rPr>
        <w:t xml:space="preserve"> — внутришкольный контроль. Это компонент ВСОКО, который поддерживает гарантии участников образовательных отношений на получение качественного образования, система управления качеством образовательной деятельности посредством планирования, организации и проведения контрольнооценочных мероприятий, соответствующих направлениям ВСОКО; </w:t>
      </w:r>
    </w:p>
    <w:p>
      <w:pPr>
        <w:pStyle w:val="Normal"/>
        <w:rPr>
          <w:rFonts w:ascii="Times New Roman" w:hAnsi="Times New Roman" w:cs="Times New Roman"/>
          <w:sz w:val="28"/>
          <w:szCs w:val="28"/>
        </w:rPr>
      </w:pPr>
      <w:r>
        <w:rPr>
          <w:rFonts w:cs="Times New Roman" w:ascii="Times New Roman" w:hAnsi="Times New Roman"/>
          <w:b/>
          <w:sz w:val="28"/>
          <w:szCs w:val="28"/>
        </w:rPr>
        <w:t>диагностика</w:t>
      </w:r>
      <w:r>
        <w:rPr>
          <w:rFonts w:cs="Times New Roman" w:ascii="Times New Roman" w:hAnsi="Times New Roman"/>
          <w:sz w:val="28"/>
          <w:szCs w:val="28"/>
        </w:rPr>
        <w:t xml:space="preserve"> — контрольный замер, срез; </w:t>
      </w:r>
    </w:p>
    <w:p>
      <w:pPr>
        <w:pStyle w:val="Normal"/>
        <w:rPr>
          <w:rFonts w:ascii="Times New Roman" w:hAnsi="Times New Roman" w:cs="Times New Roman"/>
          <w:sz w:val="28"/>
          <w:szCs w:val="28"/>
        </w:rPr>
      </w:pPr>
      <w:r>
        <w:rPr>
          <w:rFonts w:cs="Times New Roman" w:ascii="Times New Roman" w:hAnsi="Times New Roman"/>
          <w:b/>
          <w:sz w:val="28"/>
          <w:szCs w:val="28"/>
        </w:rPr>
        <w:t>мониторинг</w:t>
      </w:r>
      <w:r>
        <w:rPr>
          <w:rFonts w:cs="Times New Roman" w:ascii="Times New Roman" w:hAnsi="Times New Roman"/>
          <w:sz w:val="28"/>
          <w:szCs w:val="28"/>
        </w:rPr>
        <w:t xml:space="preserve"> — системное, долгосрочное наблюдение за управляемым объектом контроля с целью анализа факторов, влияющих на состояние этого объекта. Мониторинг предполагает фиксацию состояния наблюдаемого объекта на «входе» и «выходе»; </w:t>
      </w:r>
    </w:p>
    <w:p>
      <w:pPr>
        <w:pStyle w:val="Normal"/>
        <w:rPr>
          <w:rFonts w:ascii="Times New Roman" w:hAnsi="Times New Roman" w:cs="Times New Roman"/>
          <w:sz w:val="28"/>
          <w:szCs w:val="28"/>
        </w:rPr>
      </w:pPr>
      <w:r>
        <w:rPr>
          <w:rFonts w:cs="Times New Roman" w:ascii="Times New Roman" w:hAnsi="Times New Roman"/>
          <w:b/>
          <w:sz w:val="28"/>
          <w:szCs w:val="28"/>
        </w:rPr>
        <w:t xml:space="preserve">КИМ </w:t>
      </w:r>
      <w:r>
        <w:rPr>
          <w:rFonts w:cs="Times New Roman" w:ascii="Times New Roman" w:hAnsi="Times New Roman"/>
          <w:sz w:val="28"/>
          <w:szCs w:val="28"/>
        </w:rPr>
        <w:t xml:space="preserve">— контрольно-измерительные материалы; </w:t>
      </w:r>
    </w:p>
    <w:p>
      <w:pPr>
        <w:pStyle w:val="Normal"/>
        <w:rPr>
          <w:rFonts w:ascii="Times New Roman" w:hAnsi="Times New Roman" w:cs="Times New Roman"/>
          <w:sz w:val="28"/>
          <w:szCs w:val="28"/>
        </w:rPr>
      </w:pPr>
      <w:r>
        <w:rPr>
          <w:rFonts w:cs="Times New Roman" w:ascii="Times New Roman" w:hAnsi="Times New Roman"/>
          <w:b/>
          <w:sz w:val="28"/>
          <w:szCs w:val="28"/>
        </w:rPr>
        <w:t>ООП</w:t>
      </w:r>
      <w:r>
        <w:rPr>
          <w:rFonts w:cs="Times New Roman" w:ascii="Times New Roman" w:hAnsi="Times New Roman"/>
          <w:sz w:val="28"/>
          <w:szCs w:val="28"/>
        </w:rPr>
        <w:t xml:space="preserve"> — основная образовательная программа; </w:t>
      </w:r>
    </w:p>
    <w:p>
      <w:pPr>
        <w:pStyle w:val="Normal"/>
        <w:rPr>
          <w:rFonts w:ascii="Times New Roman" w:hAnsi="Times New Roman" w:cs="Times New Roman"/>
          <w:sz w:val="28"/>
          <w:szCs w:val="28"/>
        </w:rPr>
      </w:pPr>
      <w:r>
        <w:rPr>
          <w:rFonts w:cs="Times New Roman" w:ascii="Times New Roman" w:hAnsi="Times New Roman"/>
          <w:b/>
          <w:sz w:val="28"/>
          <w:szCs w:val="28"/>
        </w:rPr>
        <w:t xml:space="preserve">УУД </w:t>
      </w:r>
      <w:r>
        <w:rPr>
          <w:rFonts w:cs="Times New Roman" w:ascii="Times New Roman" w:hAnsi="Times New Roman"/>
          <w:sz w:val="28"/>
          <w:szCs w:val="28"/>
        </w:rPr>
        <w:t>— универсальные учебные действия;</w:t>
      </w:r>
    </w:p>
    <w:p>
      <w:pPr>
        <w:pStyle w:val="Normal"/>
        <w:rPr>
          <w:rFonts w:ascii="Times New Roman" w:hAnsi="Times New Roman" w:cs="Times New Roman"/>
          <w:sz w:val="28"/>
          <w:szCs w:val="28"/>
        </w:rPr>
      </w:pPr>
      <w:r>
        <w:rPr>
          <w:rFonts w:cs="Times New Roman" w:ascii="Times New Roman" w:hAnsi="Times New Roman"/>
          <w:b/>
          <w:sz w:val="28"/>
          <w:szCs w:val="28"/>
        </w:rPr>
        <w:t xml:space="preserve"> </w:t>
      </w:r>
      <w:r>
        <w:rPr>
          <w:rFonts w:cs="Times New Roman" w:ascii="Times New Roman" w:hAnsi="Times New Roman"/>
          <w:b/>
          <w:sz w:val="28"/>
          <w:szCs w:val="28"/>
        </w:rPr>
        <w:t>ФГОС НОО</w:t>
      </w:r>
      <w:r>
        <w:rPr>
          <w:rFonts w:cs="Times New Roman" w:ascii="Times New Roman" w:hAnsi="Times New Roman"/>
          <w:sz w:val="28"/>
          <w:szCs w:val="28"/>
        </w:rPr>
        <w:t xml:space="preserve"> — Федеральный государственный образовательный стандарт начального общего образования;</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1.5 Оценка качества образования в Гимназии осуществляется посредством: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внутренней системы оценки качества образования;</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общественно-профессиональной экспертизы качества образования;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независимой оценки качества образования;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лицензирования;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государственной аккредитации;</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государственной (итоговой) аттестации выпускников;</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внешнего мониторинга качества образования.</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ВСОКО функционирует как единая система контроля и оценки качества образования и включает в себя: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субъекты контрольно-оценочной деятельности;</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контрольно-оценочные процедуры;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контрольно-измерительные материалы;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аналитические документы для внутреннего потребления;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информационно-аналитические продукты для трансляции в публичных источниках. </w:t>
      </w:r>
    </w:p>
    <w:p>
      <w:pPr>
        <w:pStyle w:val="Normal"/>
        <w:rPr>
          <w:rFonts w:ascii="Times New Roman" w:hAnsi="Times New Roman" w:cs="Times New Roman"/>
          <w:sz w:val="28"/>
          <w:szCs w:val="28"/>
        </w:rPr>
      </w:pPr>
      <w:r>
        <w:rPr>
          <w:rFonts w:cs="Times New Roman" w:ascii="Times New Roman" w:hAnsi="Times New Roman"/>
          <w:sz w:val="28"/>
          <w:szCs w:val="28"/>
        </w:rPr>
        <w:t xml:space="preserve">1.6.  В Гимназии внутренняя система оценки качества образования определяется планом ВСОКО на учебный год. </w:t>
      </w:r>
    </w:p>
    <w:p>
      <w:pPr>
        <w:pStyle w:val="Normal"/>
        <w:rPr>
          <w:rFonts w:ascii="Times New Roman" w:hAnsi="Times New Roman" w:cs="Times New Roman"/>
          <w:sz w:val="28"/>
          <w:szCs w:val="28"/>
        </w:rPr>
      </w:pPr>
      <w:r>
        <w:rPr>
          <w:rFonts w:cs="Times New Roman" w:ascii="Times New Roman" w:hAnsi="Times New Roman"/>
          <w:sz w:val="28"/>
          <w:szCs w:val="28"/>
        </w:rPr>
        <w:t xml:space="preserve">1.7. В качестве источников данных для внутренней системы оценки качества образования в Гимназии используются: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оценка степени достижения планируемых (личностных, метапредметных и предметных) результатов освоения основной образовательной программы начального общего образования;</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оценка соответствия содержания основной образовательной программы начального  общего образования (и вносимых в них изменений, дополнений и уточнений) установленным требованиям;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оценка качества условий (кадровых, психолого-педагогических, материально-технических, учебно-методических, информационных, организационных и др.);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результаты самообследования;</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результатов социологических опросов;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отчеты работников образовательной организации;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данные классного журнала;</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анализ посещения учебных занятий (уроков и курсов внеурочной деятельности), внеклассных и внешкольных мероприятий и др.;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статистические данные образовательной организации;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информационно-аналитические данные образовательной организации.</w:t>
      </w:r>
    </w:p>
    <w:p>
      <w:pPr>
        <w:pStyle w:val="Normal"/>
        <w:rPr>
          <w:rFonts w:ascii="Times New Roman" w:hAnsi="Times New Roman" w:cs="Times New Roman"/>
          <w:sz w:val="28"/>
          <w:szCs w:val="28"/>
        </w:rPr>
      </w:pPr>
      <w:r>
        <w:rPr>
          <w:rFonts w:cs="Times New Roman" w:ascii="Times New Roman" w:hAnsi="Times New Roman"/>
          <w:b/>
          <w:sz w:val="28"/>
          <w:szCs w:val="28"/>
        </w:rPr>
        <w:t xml:space="preserve"> </w:t>
      </w:r>
      <w:r>
        <w:rPr>
          <w:rFonts w:cs="Times New Roman" w:ascii="Times New Roman" w:hAnsi="Times New Roman"/>
          <w:b/>
          <w:sz w:val="28"/>
          <w:szCs w:val="28"/>
        </w:rPr>
        <w:t>2. Основные цели, задачи, принципы и функции внутренней системы оценки качества образования (ВСОКО)</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t xml:space="preserve">2.1. Целями внутренней системы оценки качества образования являются: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обеспечение эффективного управления на основе объективной информации о результатах и состоянии образовательного процесса в Гимназии;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формирование единой внутренней системы оценки качества образования состояния, обеспечивающей определение факторов и своевременное выявление изменений;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получение объективной информации о функционировании и развитии Гимназии, тенденциях изменения и причинах, влияющих на её уровень;</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предоставление всем участникам образовательного процесса и общественности достоверной информации о качестве образования в Гимназии;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принятие обоснованных и своевременных управленческих решений по совершенствованию образования и повышение уровня информированности участников образовательного процесса при принятии таких решений;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прогнозирование развития Гимназии. </w:t>
      </w:r>
    </w:p>
    <w:p>
      <w:pPr>
        <w:pStyle w:val="Normal"/>
        <w:rPr>
          <w:rFonts w:ascii="Times New Roman" w:hAnsi="Times New Roman" w:cs="Times New Roman"/>
          <w:sz w:val="28"/>
          <w:szCs w:val="28"/>
        </w:rPr>
      </w:pPr>
      <w:r>
        <w:rPr>
          <w:rFonts w:cs="Times New Roman" w:ascii="Times New Roman" w:hAnsi="Times New Roman"/>
          <w:sz w:val="28"/>
          <w:szCs w:val="28"/>
        </w:rPr>
        <w:t xml:space="preserve">2.2. Задачами внутренней системы оценки качества образования являются: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формирование единого понимания критериев оценки качества образования и подходов к его измерению;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формирование системы аналитических критериев и показателей, позволяющей эффективно реализовывать основные цели оценки качества образования;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формирование ресурсной базы и обеспечение функционирования школьной образовательной статистики;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осуществление самообследования состояния развития и эффективности деятельности образовательной организации;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определение степени соответствия условий осуществления образовательного процесса установленным требованиям;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определение степени соответствия образовательной программы начального общего образования нормативным требованиям и запросам основных участников образовательного процесса;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обеспечение доступности качественного образования;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оценка уровня индивидуальных образовательных достижений обучающихся;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определение в рамках исследований степени соответствия качества начального общего образования положениям федерального государственного образовательного стандарта начального образования;</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выявление факторов, влияющих на качество образования;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содействие повышению квалификации педагогов, принимающих участие в процедурах внутренней системы оценки качества образования; определение перспективных направлений повышения квалификации педагогических работников по вопросам, касающимся требований к аттестации педагогов, индивидуальным достижениям обучающихся;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определение рейтинга педагогов и стимулирующих доплат им;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расширение общественного участия в управлении образованием в Гимназии.</w:t>
      </w:r>
    </w:p>
    <w:p>
      <w:pPr>
        <w:pStyle w:val="Normal"/>
        <w:rPr>
          <w:rFonts w:ascii="Times New Roman" w:hAnsi="Times New Roman" w:cs="Times New Roman"/>
          <w:sz w:val="28"/>
          <w:szCs w:val="28"/>
        </w:rPr>
      </w:pPr>
      <w:r>
        <w:rPr>
          <w:rFonts w:cs="Times New Roman" w:ascii="Times New Roman" w:hAnsi="Times New Roman"/>
          <w:sz w:val="28"/>
          <w:szCs w:val="28"/>
        </w:rPr>
        <w:t xml:space="preserve">2.3. В основу внутренней системы оценки качества образования положены следующие принципы: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объективности, достоверности, полноты и системности информации о качестве образования;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реалистичности требований, норм и показателей качества образования, их социальной и личностной значимости, учета индивидуальных особенностей развития отдельных обучающихся при оценке результатов их образования;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открытости, прозрачности процедур оценки качества образования;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преемственности в образовательной политики;</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доступности информации о состоянии и качестве образования для участников образовательного процесса;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рефлексивности, реализуемый через включение педагогов в самоанализ и самооценку деятельности с опорой на объективные критерии и показатели; повышения потенциала внутренней оценки, самооценки, самоанализа каждого педагога;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оптимальности использования источников первичных данных для определения показателей качества и эффективности образования (с учетом возможности их многократного использования);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инструментальности и технологичности используемых показателей (с учетом существующих возможностей сбора данных, методик измерений, анализа и интерпретации данных, подготовленности потребителей к их восприятию);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минимизации системы показателей с учетом потребностей разных уровней управления; сопоставимости системы показателей с муниципальными аналогами;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взаимного дополнения оценочных процедур, установления между ними взаимосвязей и взаимозависимости;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соблюдения морально-этических норм при проведении процедур оценки качества образования в Гимназии. </w:t>
      </w:r>
    </w:p>
    <w:p>
      <w:pPr>
        <w:pStyle w:val="Normal"/>
        <w:rPr>
          <w:rFonts w:ascii="Times New Roman" w:hAnsi="Times New Roman" w:cs="Times New Roman"/>
          <w:sz w:val="28"/>
          <w:szCs w:val="28"/>
        </w:rPr>
      </w:pPr>
      <w:r>
        <w:rPr>
          <w:rFonts w:cs="Times New Roman" w:ascii="Times New Roman" w:hAnsi="Times New Roman"/>
          <w:sz w:val="28"/>
          <w:szCs w:val="28"/>
        </w:rPr>
        <w:t>2.4. Функции внутренней системы оценки качества образования:</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информационно-технологическая, обеспечивающая сбор, обработку, хранение, систематизацию и представление данных;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информационно-аналитическая, включающая сравнение, сопоставление, обобщение данных, выявление динамики изменений;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контрольно-диагностическая, определяющая регламенты и формы внутренней оценки образовательных результатов;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проектно-прогностическая, позволяющая определять приоритеты развития учреждения.</w:t>
      </w:r>
    </w:p>
    <w:p>
      <w:pPr>
        <w:pStyle w:val="Normal"/>
        <w:jc w:val="center"/>
        <w:rPr>
          <w:rFonts w:ascii="Times New Roman" w:hAnsi="Times New Roman" w:cs="Times New Roman"/>
          <w:b/>
          <w:b/>
          <w:sz w:val="28"/>
          <w:szCs w:val="28"/>
        </w:rPr>
      </w:pPr>
      <w:r>
        <w:rPr>
          <w:rFonts w:cs="Times New Roman" w:ascii="Times New Roman" w:hAnsi="Times New Roman"/>
          <w:b/>
          <w:sz w:val="28"/>
          <w:szCs w:val="28"/>
        </w:rPr>
        <w:t>3. Организационная и функциональная структура внутренней системы оценки качества образования</w:t>
      </w:r>
    </w:p>
    <w:p>
      <w:pPr>
        <w:pStyle w:val="Normal"/>
        <w:rPr>
          <w:rFonts w:ascii="Times New Roman" w:hAnsi="Times New Roman" w:cs="Times New Roman"/>
          <w:sz w:val="28"/>
          <w:szCs w:val="28"/>
        </w:rPr>
      </w:pPr>
      <w:r>
        <w:rPr>
          <w:rFonts w:cs="Times New Roman" w:ascii="Times New Roman" w:hAnsi="Times New Roman"/>
          <w:sz w:val="28"/>
          <w:szCs w:val="28"/>
        </w:rPr>
        <w:t xml:space="preserve">3.1. Организационная структура, занимающаяся внутренней системой оценки качества образования, включает в себя: директора Гимназии, заместителей директора по УВР, ВР, АХЧ, педагогический совет, методические объединения учителей, временные структуры (педагогический консилиум, комиссии и др.). </w:t>
      </w:r>
    </w:p>
    <w:p>
      <w:pPr>
        <w:pStyle w:val="Normal"/>
        <w:rPr>
          <w:rFonts w:ascii="Times New Roman" w:hAnsi="Times New Roman" w:cs="Times New Roman"/>
          <w:sz w:val="28"/>
          <w:szCs w:val="28"/>
        </w:rPr>
      </w:pPr>
      <w:r>
        <w:rPr>
          <w:rFonts w:cs="Times New Roman" w:ascii="Times New Roman" w:hAnsi="Times New Roman"/>
          <w:sz w:val="28"/>
          <w:szCs w:val="28"/>
        </w:rPr>
        <w:t xml:space="preserve">3.2. Директор Гимназии, заместители директора: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формируют, утверждают приказом и контролируют исполнение блока локальных нормативных актов, регулирующих функционирование внутренней системы оценки качества образования;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разрабатывают мероприятия и готовят предложения, направленные на совершенствование внутренней системы оценки качества образования, участвуют в этих мероприятиях;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обеспечивают на основе образовательной программы начального, основного, среднего общего образования проведение в школе контрольнооценочных процедур, социологических и статистических исследований по вопросам качества образования;</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организуют систему качества образования в Гимназии, осуществляют сбор, обработку, хранение и предоставление информации о состоянии и динамике развития; анализируют результаты оценки качества образования на уровне образовательной организации;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организуют изучение информационных запросов основных пользователей внутренней системы оценки качества образования;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обеспечивают условия для подготовки педагогов и общественных экспертов к осуществлению контрольно-оценочных процедур;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обеспечивают предоставление информации о качестве образования учредителю Гимназии;</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формируют информационно-аналитические материалы по результатам внутренней системы оценки качества образования (анализ работы за учебный год; отчёт по результатам самообследования и др.);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принимают управленческие решения по развитию качества образования на основе анализа результатов, полученных в процессе реализации внутренней системы оценки качества образования. </w:t>
      </w:r>
    </w:p>
    <w:p>
      <w:pPr>
        <w:pStyle w:val="Normal"/>
        <w:rPr>
          <w:rFonts w:ascii="Times New Roman" w:hAnsi="Times New Roman" w:cs="Times New Roman"/>
          <w:sz w:val="28"/>
          <w:szCs w:val="28"/>
        </w:rPr>
      </w:pPr>
      <w:r>
        <w:rPr>
          <w:rFonts w:cs="Times New Roman" w:ascii="Times New Roman" w:hAnsi="Times New Roman"/>
          <w:sz w:val="28"/>
          <w:szCs w:val="28"/>
        </w:rPr>
        <w:t xml:space="preserve">3.3. Педагогический совет гимназии: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содействует определению стратегических направлений развития Гимназии; </w:t>
      </w:r>
      <w:r>
        <w:rPr>
          <w:rFonts w:eastAsia="Symbol" w:cs="Symbol" w:ascii="Symbol" w:hAnsi="Symbol"/>
          <w:sz w:val="28"/>
          <w:szCs w:val="28"/>
        </w:rPr>
        <w:t></w:t>
      </w:r>
      <w:r>
        <w:rPr>
          <w:rFonts w:cs="Times New Roman" w:ascii="Times New Roman" w:hAnsi="Times New Roman"/>
          <w:sz w:val="28"/>
          <w:szCs w:val="28"/>
        </w:rPr>
        <w:t xml:space="preserve"> содействует реализации принципа общественного участия в управлении образованием в Гимназии;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инициирует и участвует в организации конкурсов образовательной программы начального общего образования Гимназии, конкурсов педагогического мастерства;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принимает участие: </w:t>
      </w:r>
    </w:p>
    <w:p>
      <w:pPr>
        <w:pStyle w:val="Normal"/>
        <w:rPr>
          <w:rFonts w:ascii="Times New Roman" w:hAnsi="Times New Roman" w:cs="Times New Roman"/>
          <w:sz w:val="28"/>
          <w:szCs w:val="28"/>
        </w:rPr>
      </w:pPr>
      <w:r>
        <w:rPr>
          <w:rFonts w:cs="Times New Roman" w:ascii="Times New Roman" w:hAnsi="Times New Roman"/>
          <w:sz w:val="28"/>
          <w:szCs w:val="28"/>
        </w:rPr>
        <w:t xml:space="preserve">- в формировании информационных запросов основных пользователей внутренней системы оценки качества образования; </w:t>
      </w:r>
    </w:p>
    <w:p>
      <w:pPr>
        <w:pStyle w:val="Normal"/>
        <w:rPr>
          <w:rFonts w:ascii="Times New Roman" w:hAnsi="Times New Roman" w:cs="Times New Roman"/>
          <w:sz w:val="28"/>
          <w:szCs w:val="28"/>
        </w:rPr>
      </w:pPr>
      <w:r>
        <w:rPr>
          <w:rFonts w:cs="Times New Roman" w:ascii="Times New Roman" w:hAnsi="Times New Roman"/>
          <w:sz w:val="28"/>
          <w:szCs w:val="28"/>
        </w:rPr>
        <w:t xml:space="preserve">- в обсуждении системы показателей, характеризующих состояние и динамику развития Гимназии; </w:t>
      </w:r>
    </w:p>
    <w:p>
      <w:pPr>
        <w:pStyle w:val="Normal"/>
        <w:rPr>
          <w:rFonts w:ascii="Times New Roman" w:hAnsi="Times New Roman" w:cs="Times New Roman"/>
          <w:sz w:val="28"/>
          <w:szCs w:val="28"/>
        </w:rPr>
      </w:pPr>
      <w:r>
        <w:rPr>
          <w:rFonts w:cs="Times New Roman" w:ascii="Times New Roman" w:hAnsi="Times New Roman"/>
          <w:sz w:val="28"/>
          <w:szCs w:val="28"/>
        </w:rPr>
        <w:t xml:space="preserve">- в экспертизе качества планируемых результатов; условий организации образовательного процесса; соответствия содержания образовательной программы начального, основного, среднего общего образования (и вносимых в них изменений, дополнений и уточнений) установленным требованиям; </w:t>
      </w:r>
    </w:p>
    <w:p>
      <w:pPr>
        <w:pStyle w:val="Normal"/>
        <w:rPr>
          <w:rFonts w:ascii="Times New Roman" w:hAnsi="Times New Roman" w:cs="Times New Roman"/>
          <w:sz w:val="28"/>
          <w:szCs w:val="28"/>
        </w:rPr>
      </w:pPr>
      <w:r>
        <w:rPr>
          <w:rFonts w:cs="Times New Roman" w:ascii="Times New Roman" w:hAnsi="Times New Roman"/>
          <w:sz w:val="28"/>
          <w:szCs w:val="28"/>
        </w:rPr>
        <w:t>- в оценке качества и результативности труда педагогов, распределении выплат стимулирующего характера работникам и согласовании их распределения в порядке, установленном локальными нормативными актами;</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содействует организации работы по повышению квалификации педагогических работников, развитию их творческих инициатив;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заслушивает информацию и отчеты педагогических работников, доклады представителей организаций и учреждений, взаимодействующих с Гимназией по вопросам образования и воспитания учащихся, в т. ч. сообщения о проверке соблюдения санитарно-гигиенического режима, об охране труда, здоровья и жизни обучающихся и другие вопросы образовательной деятельности;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принимает решение о перечне учебных предметов, курсов, выносимых на промежуточную аттестацию по результатам учебного года. </w:t>
      </w:r>
    </w:p>
    <w:p>
      <w:pPr>
        <w:pStyle w:val="Normal"/>
        <w:rPr>
          <w:rFonts w:ascii="Times New Roman" w:hAnsi="Times New Roman" w:cs="Times New Roman"/>
          <w:sz w:val="28"/>
          <w:szCs w:val="28"/>
        </w:rPr>
      </w:pPr>
      <w:r>
        <w:rPr>
          <w:rFonts w:cs="Times New Roman" w:ascii="Times New Roman" w:hAnsi="Times New Roman"/>
          <w:sz w:val="28"/>
          <w:szCs w:val="28"/>
        </w:rPr>
        <w:t xml:space="preserve">3.4. Методические объединения педагогов: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участвуют в разработке методик внутренней системы оценки качества образования; системы показателей, характеризующих состояние и динамику развития Гимназии; критериев оценки результативности профессиональной деятельности педагогов;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содействуют подготовке педработников школы и общественных экспертов к осуществлению контрольно-оценочных процедур;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проводят экспертизу организации, содержания и результатов промежуточной аттестации обучающихся и формируют предложения по их совершенствованию;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готовят предложения для директора Гимназии и его заместителей по выработке управленческих решений по результатам внутренней системы оценки качества образования на уровне Гимназии.</w:t>
      </w:r>
    </w:p>
    <w:p>
      <w:pPr>
        <w:pStyle w:val="Normal"/>
        <w:jc w:val="center"/>
        <w:rPr>
          <w:rFonts w:ascii="Times New Roman" w:hAnsi="Times New Roman" w:cs="Times New Roman"/>
          <w:b/>
          <w:b/>
          <w:sz w:val="28"/>
          <w:szCs w:val="28"/>
        </w:rPr>
      </w:pPr>
      <w:r>
        <w:rPr>
          <w:rFonts w:cs="Times New Roman" w:ascii="Times New Roman" w:hAnsi="Times New Roman"/>
          <w:b/>
          <w:sz w:val="28"/>
          <w:szCs w:val="28"/>
        </w:rPr>
      </w:r>
    </w:p>
    <w:p>
      <w:pPr>
        <w:pStyle w:val="Normal"/>
        <w:jc w:val="center"/>
        <w:rPr>
          <w:rFonts w:ascii="Times New Roman" w:hAnsi="Times New Roman" w:cs="Times New Roman"/>
          <w:b/>
          <w:b/>
          <w:sz w:val="28"/>
          <w:szCs w:val="28"/>
        </w:rPr>
      </w:pPr>
      <w:r>
        <w:rPr>
          <w:rFonts w:cs="Times New Roman" w:ascii="Times New Roman" w:hAnsi="Times New Roman"/>
          <w:b/>
          <w:sz w:val="28"/>
          <w:szCs w:val="28"/>
        </w:rPr>
      </w:r>
    </w:p>
    <w:p>
      <w:pPr>
        <w:pStyle w:val="Normal"/>
        <w:jc w:val="center"/>
        <w:rPr>
          <w:rFonts w:ascii="Times New Roman" w:hAnsi="Times New Roman" w:cs="Times New Roman"/>
          <w:b/>
          <w:b/>
          <w:sz w:val="28"/>
          <w:szCs w:val="28"/>
        </w:rPr>
      </w:pPr>
      <w:r>
        <w:rPr>
          <w:rFonts w:cs="Times New Roman" w:ascii="Times New Roman" w:hAnsi="Times New Roman"/>
          <w:b/>
          <w:sz w:val="28"/>
          <w:szCs w:val="28"/>
        </w:rPr>
        <w:t>4. Реализация внутренней оценки качества образования</w:t>
      </w:r>
    </w:p>
    <w:p>
      <w:pPr>
        <w:pStyle w:val="Normal"/>
        <w:rPr>
          <w:rFonts w:ascii="Times New Roman" w:hAnsi="Times New Roman" w:cs="Times New Roman"/>
          <w:sz w:val="28"/>
          <w:szCs w:val="28"/>
        </w:rPr>
      </w:pPr>
      <w:r>
        <w:rPr>
          <w:rFonts w:cs="Times New Roman" w:ascii="Times New Roman" w:hAnsi="Times New Roman"/>
          <w:b/>
          <w:sz w:val="28"/>
          <w:szCs w:val="28"/>
        </w:rPr>
        <w:t>4.1. Мероприятия по реализации целей и задач внутренней системы оценки качества образования образовательной</w:t>
      </w:r>
      <w:r>
        <w:rPr>
          <w:rFonts w:cs="Times New Roman" w:ascii="Times New Roman" w:hAnsi="Times New Roman"/>
          <w:sz w:val="28"/>
          <w:szCs w:val="28"/>
        </w:rPr>
        <w:t xml:space="preserve"> организации планируются и осуществляются на основе проблемного анализа образовательного процесса, определения методологии, технологии и инструментария оценки качества образования. </w:t>
      </w:r>
    </w:p>
    <w:p>
      <w:pPr>
        <w:pStyle w:val="Normal"/>
        <w:rPr>
          <w:rFonts w:ascii="Times New Roman" w:hAnsi="Times New Roman" w:cs="Times New Roman"/>
          <w:b/>
          <w:b/>
          <w:sz w:val="28"/>
          <w:szCs w:val="28"/>
        </w:rPr>
      </w:pPr>
      <w:r>
        <w:rPr>
          <w:rFonts w:cs="Times New Roman" w:ascii="Times New Roman" w:hAnsi="Times New Roman"/>
          <w:b/>
          <w:sz w:val="28"/>
          <w:szCs w:val="28"/>
        </w:rPr>
        <w:t xml:space="preserve">Организация ВСОКО </w:t>
      </w:r>
    </w:p>
    <w:p>
      <w:pPr>
        <w:pStyle w:val="Normal"/>
        <w:rPr>
          <w:rFonts w:ascii="Times New Roman" w:hAnsi="Times New Roman" w:cs="Times New Roman"/>
          <w:sz w:val="28"/>
          <w:szCs w:val="28"/>
        </w:rPr>
      </w:pPr>
      <w:r>
        <w:rPr>
          <w:rFonts w:cs="Times New Roman" w:ascii="Times New Roman" w:hAnsi="Times New Roman"/>
          <w:sz w:val="28"/>
          <w:szCs w:val="28"/>
        </w:rPr>
        <w:t xml:space="preserve">4.1.1. Направления ВСОКО: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оценка качества образовательных программ;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оценка качества условий реализации образовательных программ;</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оценка качества образовательных результатов, обучающихся;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оценка удовлетворенности участников образовательного процесса качеством образования.</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4.1.2. Оценочные мероприятия и процедуры в рамках ВСОКО проводятся в течение всего учебного года, результаты обобщаются на этапе подготовки Гимназией отчета о самообследовании.</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4.1.3. Мероприятия ВШК являются частью ВСОКО. </w:t>
      </w:r>
    </w:p>
    <w:p>
      <w:pPr>
        <w:pStyle w:val="Normal"/>
        <w:rPr>
          <w:rFonts w:ascii="Times New Roman" w:hAnsi="Times New Roman" w:cs="Times New Roman"/>
          <w:sz w:val="28"/>
          <w:szCs w:val="28"/>
        </w:rPr>
      </w:pPr>
      <w:r>
        <w:rPr>
          <w:rFonts w:cs="Times New Roman" w:ascii="Times New Roman" w:hAnsi="Times New Roman"/>
          <w:sz w:val="28"/>
          <w:szCs w:val="28"/>
        </w:rPr>
        <w:t xml:space="preserve">4.1.4. Основные мероприятия ВСОКО: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оценка соответствия реализуемых в Гимназии образовательных программ федеральным требованиям;</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контроль реализации рабочих программ;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оценка условий реализации ООП федеральным требованиям;</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контроль состояния условий реализации ООП и мониторинг реализации «дорожной карты» развития условий реализации ООП;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мониторинг сформированности и развития метапредметных образовательных результатов;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оценка уровня достижения обучающимися планируемых предметных и метапредметных результатов освоения основных образовательных программ; </w:t>
      </w:r>
      <w:r>
        <w:rPr>
          <w:rFonts w:eastAsia="Symbol" w:cs="Symbol" w:ascii="Symbol" w:hAnsi="Symbol"/>
          <w:sz w:val="28"/>
          <w:szCs w:val="28"/>
        </w:rPr>
        <w:t></w:t>
      </w:r>
      <w:r>
        <w:rPr>
          <w:rFonts w:cs="Times New Roman" w:ascii="Times New Roman" w:hAnsi="Times New Roman"/>
          <w:sz w:val="28"/>
          <w:szCs w:val="28"/>
        </w:rPr>
        <w:t xml:space="preserve"> мониторинг индивидуального прогресса, обучающегося в достижении предметных и метапредметных результатов освоения основных образовательных программ;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мониторинг личностного развития обучающихся, сформированности личностных УУД;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контроль реализации программы воспитания;</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контроль реализации программы коррекционной работы;</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оценка удовлетворенности участников образовательных отношений качеством образования;</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систематизация и обработка оценочной информации, подготовка аналитических документов по итогам ВСОКО;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подготовка текста отчета о самообследовании, в том числе для размещения на официальном сайте Гимназии.</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Состав должностных лиц, выполняемый ими в рамках ВСОКО функционал, состав и сроки контрольно-оценочных мероприятий определяются ежегодным приказом директора об организации и проведении контрольно-оценочной деятельности и подготовке отчета о самообследовании. Контрольно-оценочные мероприятия и процедуры в рамках ВСОКО включаются в годовой план работы Гимназии. </w:t>
      </w:r>
    </w:p>
    <w:p>
      <w:pPr>
        <w:pStyle w:val="Normal"/>
        <w:rPr>
          <w:rFonts w:ascii="Times New Roman" w:hAnsi="Times New Roman" w:cs="Times New Roman"/>
          <w:b/>
          <w:b/>
          <w:sz w:val="28"/>
          <w:szCs w:val="28"/>
        </w:rPr>
      </w:pPr>
      <w:r>
        <w:rPr>
          <w:rFonts w:cs="Times New Roman" w:ascii="Times New Roman" w:hAnsi="Times New Roman"/>
          <w:b/>
          <w:sz w:val="28"/>
          <w:szCs w:val="28"/>
        </w:rPr>
        <w:t xml:space="preserve">4.2. Оценка образовательных программ </w:t>
      </w:r>
    </w:p>
    <w:p>
      <w:pPr>
        <w:pStyle w:val="Normal"/>
        <w:rPr>
          <w:rFonts w:ascii="Times New Roman" w:hAnsi="Times New Roman" w:cs="Times New Roman"/>
          <w:sz w:val="28"/>
          <w:szCs w:val="28"/>
        </w:rPr>
      </w:pPr>
      <w:r>
        <w:rPr>
          <w:rFonts w:cs="Times New Roman" w:ascii="Times New Roman" w:hAnsi="Times New Roman"/>
          <w:sz w:val="28"/>
          <w:szCs w:val="28"/>
        </w:rPr>
        <w:t>4.2.1. Оценке подлежат основные образовательные программы соответствующего уровня общего образования, разработанные согласно требованиям образовательных стандартов (ФГОС НОО).</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4.2.2. Оценка ООП проводится на этапе ее согласования и утверждения по критериям, указанным в Приложении 1. </w:t>
      </w:r>
    </w:p>
    <w:p>
      <w:pPr>
        <w:pStyle w:val="Normal"/>
        <w:rPr>
          <w:rFonts w:ascii="Times New Roman" w:hAnsi="Times New Roman" w:cs="Times New Roman"/>
          <w:sz w:val="28"/>
          <w:szCs w:val="28"/>
        </w:rPr>
      </w:pPr>
      <w:r>
        <w:rPr>
          <w:rFonts w:cs="Times New Roman" w:ascii="Times New Roman" w:hAnsi="Times New Roman"/>
          <w:sz w:val="28"/>
          <w:szCs w:val="28"/>
        </w:rPr>
        <w:t xml:space="preserve">4.2.3. В случае внесения в ООП изменений и дополнений проводится оценка этих изменений и дополнений на предмет соответствия требованиям ФГОС соответствующего уровня общего образования. </w:t>
      </w:r>
    </w:p>
    <w:p>
      <w:pPr>
        <w:pStyle w:val="Normal"/>
        <w:rPr>
          <w:rFonts w:ascii="Times New Roman" w:hAnsi="Times New Roman" w:cs="Times New Roman"/>
          <w:sz w:val="28"/>
          <w:szCs w:val="28"/>
        </w:rPr>
      </w:pPr>
      <w:r>
        <w:rPr>
          <w:rFonts w:cs="Times New Roman" w:ascii="Times New Roman" w:hAnsi="Times New Roman"/>
          <w:sz w:val="28"/>
          <w:szCs w:val="28"/>
        </w:rPr>
        <w:t>4.2.4. По пунктам Приложения 1 проводится развернутый анализ качества образовательной программы, результаты которого обобщаются в справке. Справка выносится на обсуждение методического объединения в целях своевременного внесения коррективов в содержание указанной программы. Образец справки представлен в Приложении 2.</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4.2.5. Информация по пунктам приложения 1 включается в отчет о самообследовании (приложение 3). </w:t>
      </w:r>
    </w:p>
    <w:p>
      <w:pPr>
        <w:pStyle w:val="Normal"/>
        <w:rPr>
          <w:rFonts w:ascii="Times New Roman" w:hAnsi="Times New Roman" w:cs="Times New Roman"/>
          <w:sz w:val="28"/>
          <w:szCs w:val="28"/>
        </w:rPr>
      </w:pPr>
      <w:r>
        <w:rPr>
          <w:rFonts w:cs="Times New Roman" w:ascii="Times New Roman" w:hAnsi="Times New Roman"/>
          <w:sz w:val="28"/>
          <w:szCs w:val="28"/>
        </w:rPr>
        <w:t xml:space="preserve">Оценка дополнительных общеразвивающих программ проводится только на этапе их внесения в школьный реестр дополнительных общеразвивающих программ по параметрам: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соответствие тематики программы запросу участников образовательного процесса; </w:t>
      </w:r>
      <w:r>
        <w:rPr>
          <w:rFonts w:eastAsia="Symbol" w:cs="Symbol" w:ascii="Symbol" w:hAnsi="Symbol"/>
          <w:sz w:val="28"/>
          <w:szCs w:val="28"/>
        </w:rPr>
        <w:t></w:t>
      </w:r>
      <w:r>
        <w:rPr>
          <w:rFonts w:cs="Times New Roman" w:ascii="Times New Roman" w:hAnsi="Times New Roman"/>
          <w:sz w:val="28"/>
          <w:szCs w:val="28"/>
        </w:rPr>
        <w:t xml:space="preserve"> соответствие содержания программы заявленному направлению дополнительного образования;</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наличие в программе описанных форм и методов оценки планируемых результатов освоения программы обучающимся. </w:t>
      </w:r>
    </w:p>
    <w:p>
      <w:pPr>
        <w:pStyle w:val="Normal"/>
        <w:rPr>
          <w:rFonts w:ascii="Times New Roman" w:hAnsi="Times New Roman" w:cs="Times New Roman"/>
          <w:b/>
          <w:b/>
          <w:sz w:val="28"/>
          <w:szCs w:val="28"/>
        </w:rPr>
      </w:pPr>
      <w:r>
        <w:rPr>
          <w:rFonts w:cs="Times New Roman" w:ascii="Times New Roman" w:hAnsi="Times New Roman"/>
          <w:b/>
          <w:sz w:val="28"/>
          <w:szCs w:val="28"/>
        </w:rPr>
        <w:t>4.3. Оценка условий реализации образовательных программ</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4.3.1. Структура оценки условий реализации образовательных программ разрабатывается на основе требований ФГОС НОО к кадровым, психологопедагогическим, материально-техническим, учебно-методическим условиям и информационной образовательной среде.</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Качество реализации образовательных программ начального общего образования:</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образовательная программа начального общего образования (вносимые в них изменений, дополнений и уточнений) и соответствие требованиям федерального государственного образовательного стандарта ОО и контингенту учащихся; в том числе реализация годовых календарных учебных графиков, учебных планов и рабочих программ учебных предметов, курсов и курсов внеурочной деятельности (соответствие требованиям федерального государственного образовательного стандарта ОО);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качество учебных занятий (уроков и курсов внеурочной деятельности) и индивидуальной работы с учащимися;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дополнительные общеразвивающие образовательные программы (вносимые в них изменений, дополнений и уточнений) и соответствие запросам родителей (законных представителей).</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4.3.2. Оценка условий реализации образовательных программ предусматривает проведение контроля состояния данных условий. Предметом контроля выступают критерии развития условий (Приложение 4). </w:t>
      </w:r>
    </w:p>
    <w:p>
      <w:pPr>
        <w:pStyle w:val="Normal"/>
        <w:rPr>
          <w:rFonts w:ascii="Times New Roman" w:hAnsi="Times New Roman" w:cs="Times New Roman"/>
          <w:sz w:val="28"/>
          <w:szCs w:val="28"/>
        </w:rPr>
      </w:pPr>
      <w:r>
        <w:rPr>
          <w:rFonts w:cs="Times New Roman" w:ascii="Times New Roman" w:hAnsi="Times New Roman"/>
          <w:sz w:val="28"/>
          <w:szCs w:val="28"/>
        </w:rPr>
        <w:t>4.3.3. Совокупность критериев оценки и их распределение по группам условий реализации образовательных программ соответствует федеральным требованиям к показателям эффективности деятельности организации, подлежащей самообследованию.</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4.3.4. Оценка условий реализации образовательных программ проводится: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на этапе разработки ООП того или иного уровня (входная оценка);</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ежегодно в ходе подготовки отчета о самообследовании Учреждения. </w:t>
      </w:r>
    </w:p>
    <w:p>
      <w:pPr>
        <w:pStyle w:val="Normal"/>
        <w:rPr>
          <w:rFonts w:ascii="Times New Roman" w:hAnsi="Times New Roman" w:cs="Times New Roman"/>
          <w:sz w:val="28"/>
          <w:szCs w:val="28"/>
        </w:rPr>
      </w:pPr>
      <w:r>
        <w:rPr>
          <w:rFonts w:cs="Times New Roman" w:ascii="Times New Roman" w:hAnsi="Times New Roman"/>
          <w:sz w:val="28"/>
          <w:szCs w:val="28"/>
        </w:rPr>
        <w:t xml:space="preserve">4.3.5. Входная оценка проводится с целью учета имеющихся условий при планировании результатов образовательной деятельности и состава мероприятий по их достижению. </w:t>
      </w:r>
    </w:p>
    <w:p>
      <w:pPr>
        <w:pStyle w:val="Normal"/>
        <w:rPr>
          <w:rFonts w:ascii="Times New Roman" w:hAnsi="Times New Roman" w:cs="Times New Roman"/>
          <w:sz w:val="28"/>
          <w:szCs w:val="28"/>
        </w:rPr>
      </w:pPr>
      <w:r>
        <w:rPr>
          <w:rFonts w:cs="Times New Roman" w:ascii="Times New Roman" w:hAnsi="Times New Roman"/>
          <w:sz w:val="28"/>
          <w:szCs w:val="28"/>
        </w:rPr>
        <w:t>4.3.6. Критерии входной оценки вносятся в организационный раздел ООП  после их согласования с органом государственно-общественного управления Гимназии.</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4.3.7. Ежегодно в ходе подготовки отчета о самообследовании проводится контроль состояния условий. </w:t>
      </w:r>
    </w:p>
    <w:p>
      <w:pPr>
        <w:pStyle w:val="Normal"/>
        <w:rPr>
          <w:rFonts w:ascii="Times New Roman" w:hAnsi="Times New Roman" w:cs="Times New Roman"/>
          <w:sz w:val="28"/>
          <w:szCs w:val="28"/>
        </w:rPr>
      </w:pPr>
      <w:r>
        <w:rPr>
          <w:rFonts w:cs="Times New Roman" w:ascii="Times New Roman" w:hAnsi="Times New Roman"/>
          <w:sz w:val="28"/>
          <w:szCs w:val="28"/>
        </w:rPr>
        <w:t>Предметом контроля выступают:</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выполнение критериев «дорожной карты»  ООП НОО;</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совокупное состояние условий образовательной деятельности в Учреждении; </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качество условий, обеспечивающих образовательный процесс: </w:t>
      </w:r>
    </w:p>
    <w:p>
      <w:pPr>
        <w:pStyle w:val="Normal"/>
        <w:rPr>
          <w:rFonts w:ascii="Times New Roman" w:hAnsi="Times New Roman" w:cs="Times New Roman"/>
          <w:sz w:val="28"/>
          <w:szCs w:val="28"/>
        </w:rPr>
      </w:pPr>
      <w:r>
        <w:rPr>
          <w:rFonts w:cs="Times New Roman" w:ascii="Times New Roman" w:hAnsi="Times New Roman"/>
          <w:sz w:val="28"/>
          <w:szCs w:val="28"/>
        </w:rPr>
        <w:t xml:space="preserve">- кадровые условия (включая повышение квалификации, инновационную и научно-методическую деятельность педагогов); </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 психолого-педагогические условия; </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 материально-техническое обеспечение; </w:t>
      </w:r>
    </w:p>
    <w:p>
      <w:pPr>
        <w:pStyle w:val="Normal"/>
        <w:rPr>
          <w:rFonts w:ascii="Times New Roman" w:hAnsi="Times New Roman" w:cs="Times New Roman"/>
          <w:sz w:val="28"/>
          <w:szCs w:val="28"/>
        </w:rPr>
      </w:pPr>
      <w:r>
        <w:rPr>
          <w:rFonts w:cs="Times New Roman" w:ascii="Times New Roman" w:hAnsi="Times New Roman"/>
          <w:sz w:val="28"/>
          <w:szCs w:val="28"/>
        </w:rPr>
        <w:t xml:space="preserve">- учебно-методические условия; </w:t>
      </w:r>
    </w:p>
    <w:p>
      <w:pPr>
        <w:pStyle w:val="Normal"/>
        <w:rPr>
          <w:rFonts w:ascii="Times New Roman" w:hAnsi="Times New Roman" w:cs="Times New Roman"/>
          <w:sz w:val="28"/>
          <w:szCs w:val="28"/>
        </w:rPr>
      </w:pPr>
      <w:r>
        <w:rPr>
          <w:rFonts w:cs="Times New Roman" w:ascii="Times New Roman" w:hAnsi="Times New Roman"/>
          <w:sz w:val="28"/>
          <w:szCs w:val="28"/>
        </w:rPr>
        <w:t xml:space="preserve">- информационные условия; </w:t>
      </w:r>
    </w:p>
    <w:p>
      <w:pPr>
        <w:pStyle w:val="Normal"/>
        <w:rPr>
          <w:rFonts w:ascii="Times New Roman" w:hAnsi="Times New Roman" w:cs="Times New Roman"/>
          <w:sz w:val="28"/>
          <w:szCs w:val="28"/>
        </w:rPr>
      </w:pPr>
      <w:r>
        <w:rPr>
          <w:rFonts w:cs="Times New Roman" w:ascii="Times New Roman" w:hAnsi="Times New Roman"/>
          <w:sz w:val="28"/>
          <w:szCs w:val="28"/>
        </w:rPr>
        <w:t xml:space="preserve">- санитарно-гигиенические и эстетические условия; </w:t>
      </w:r>
    </w:p>
    <w:p>
      <w:pPr>
        <w:pStyle w:val="Normal"/>
        <w:rPr>
          <w:rFonts w:ascii="Times New Roman" w:hAnsi="Times New Roman" w:cs="Times New Roman"/>
          <w:sz w:val="28"/>
          <w:szCs w:val="28"/>
        </w:rPr>
      </w:pPr>
      <w:r>
        <w:rPr>
          <w:rFonts w:cs="Times New Roman" w:ascii="Times New Roman" w:hAnsi="Times New Roman"/>
          <w:sz w:val="28"/>
          <w:szCs w:val="28"/>
        </w:rPr>
        <w:t xml:space="preserve">- медицинское сопровождение и питание; </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 психологический климат в образовательной организации; </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 использование социальной сферы микрорайона и города; </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 создание условий для функционирования коллегиальных органов управления Гимназией, осуществляющих общественногосударственное управление (попечительский совет гимназии, педагогический совет, родительский совет (законных представителей); </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 документооборот и нормативно-правовое обеспечение (включая программу развития образовательной организации). </w:t>
      </w:r>
    </w:p>
    <w:p>
      <w:pPr>
        <w:pStyle w:val="Normal"/>
        <w:rPr>
          <w:rFonts w:ascii="Times New Roman" w:hAnsi="Times New Roman" w:cs="Times New Roman"/>
          <w:sz w:val="28"/>
          <w:szCs w:val="28"/>
        </w:rPr>
      </w:pPr>
      <w:r>
        <w:rPr>
          <w:rFonts w:cs="Times New Roman" w:ascii="Times New Roman" w:hAnsi="Times New Roman"/>
          <w:sz w:val="28"/>
          <w:szCs w:val="28"/>
        </w:rPr>
        <w:t>4.3.8. Результаты ежегодной оценки совокупного состояния условий образовательной деятельности Гимназии включаются в отчет о самообследовании.</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4.3.9. Для отчета о самообследовании используются те же критерии, которые включены в структуру оценки условий реализации образовательных программ. </w:t>
      </w:r>
    </w:p>
    <w:p>
      <w:pPr>
        <w:pStyle w:val="Normal"/>
        <w:rPr>
          <w:rFonts w:ascii="Times New Roman" w:hAnsi="Times New Roman" w:cs="Times New Roman"/>
          <w:b/>
          <w:b/>
          <w:sz w:val="28"/>
          <w:szCs w:val="28"/>
        </w:rPr>
      </w:pPr>
      <w:r>
        <w:rPr>
          <w:rFonts w:cs="Times New Roman" w:ascii="Times New Roman" w:hAnsi="Times New Roman"/>
          <w:b/>
          <w:sz w:val="28"/>
          <w:szCs w:val="28"/>
        </w:rPr>
        <w:t xml:space="preserve">4.4. Оценка образовательных результатов обучающихся </w:t>
      </w:r>
    </w:p>
    <w:p>
      <w:pPr>
        <w:pStyle w:val="Normal"/>
        <w:rPr>
          <w:rFonts w:ascii="Times New Roman" w:hAnsi="Times New Roman" w:cs="Times New Roman"/>
          <w:sz w:val="28"/>
          <w:szCs w:val="28"/>
        </w:rPr>
      </w:pPr>
      <w:r>
        <w:rPr>
          <w:rFonts w:cs="Times New Roman" w:ascii="Times New Roman" w:hAnsi="Times New Roman"/>
          <w:sz w:val="28"/>
          <w:szCs w:val="28"/>
        </w:rPr>
        <w:t>4.4.1. Оценка результатов реализации ООП, разработанных на основе ФГОС НОО.</w:t>
      </w:r>
    </w:p>
    <w:p>
      <w:pPr>
        <w:pStyle w:val="Normal"/>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4.4.2. Оценка достижения предметных результатов освоения ООП в соответствии с ФГОС НОО проводится в следующих формах: </w:t>
      </w:r>
    </w:p>
    <w:p>
      <w:pPr>
        <w:pStyle w:val="Normal"/>
        <w:jc w:val="both"/>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промежуточная аттестация; </w:t>
      </w:r>
    </w:p>
    <w:p>
      <w:pPr>
        <w:pStyle w:val="Normal"/>
        <w:jc w:val="both"/>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накопительная оценка индивидуальных образовательных достижений учащихся (с использованием технологии портфолио);</w:t>
      </w:r>
    </w:p>
    <w:p>
      <w:pPr>
        <w:pStyle w:val="Normal"/>
        <w:jc w:val="both"/>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анализ результатов внешних независимых диагностик, всероссийских проверочных работ; </w:t>
      </w:r>
    </w:p>
    <w:p>
      <w:pPr>
        <w:pStyle w:val="Normal"/>
        <w:jc w:val="both"/>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итоговая оценка по предметам.</w:t>
      </w:r>
    </w:p>
    <w:p>
      <w:pPr>
        <w:pStyle w:val="Normal"/>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Сводная информация по итогам оценки предметных результатов проводится по показателям согласно Приложению 5. </w:t>
      </w:r>
    </w:p>
    <w:p>
      <w:pPr>
        <w:pStyle w:val="Normal"/>
        <w:jc w:val="both"/>
        <w:rPr>
          <w:rFonts w:ascii="Times New Roman" w:hAnsi="Times New Roman" w:cs="Times New Roman"/>
          <w:sz w:val="28"/>
          <w:szCs w:val="28"/>
        </w:rPr>
      </w:pPr>
      <w:r>
        <w:rPr>
          <w:rFonts w:cs="Times New Roman" w:ascii="Times New Roman" w:hAnsi="Times New Roman"/>
          <w:sz w:val="28"/>
          <w:szCs w:val="28"/>
        </w:rPr>
        <w:t xml:space="preserve">Оценка достижения метапредметных результатов освоения ООП НОО проводится по показателям согласно Приложению 6. </w:t>
      </w:r>
    </w:p>
    <w:p>
      <w:pPr>
        <w:pStyle w:val="Normal"/>
        <w:jc w:val="both"/>
        <w:rPr>
          <w:rFonts w:ascii="Times New Roman" w:hAnsi="Times New Roman" w:cs="Times New Roman"/>
          <w:sz w:val="28"/>
          <w:szCs w:val="28"/>
        </w:rPr>
      </w:pPr>
      <w:r>
        <w:rPr>
          <w:rFonts w:cs="Times New Roman" w:ascii="Times New Roman" w:hAnsi="Times New Roman"/>
          <w:sz w:val="28"/>
          <w:szCs w:val="28"/>
        </w:rPr>
        <w:t>Обобщенные показатели оценки, внесенные в Приложение 6, подлежат детализации по критериям в соответствии с требованиями ФГОС НОО. Детализацию делает лицо, ежегодно назначаемое приказом директором Гимназии об организации и проведении контрольно-оценочной деятельности и подготовке отчета о самообследовании для оценки той или иной группы метапредметных образовательных результатов.</w:t>
      </w:r>
    </w:p>
    <w:p>
      <w:pPr>
        <w:pStyle w:val="Normal"/>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Итоговой оценке достижения метапредметных результатов предшествует оценка этих результатов в рамках промежуточных аттестаций. Продвижение обучающегося в достижении метапредметных образовательных результатов выступает предметом обязательного мониторинга. Достижение личностных результатов освоения ООП НОО, в том числе сформированность личностных УУД, не подлежит итоговой оценке, а диагностируется в ходе мониторинга личностного развития обучающихся по параметрам согласно Приложению 7.</w:t>
      </w:r>
    </w:p>
    <w:p>
      <w:pPr>
        <w:pStyle w:val="Normal"/>
        <w:rPr>
          <w:rFonts w:ascii="Times New Roman" w:hAnsi="Times New Roman" w:cs="Times New Roman"/>
          <w:sz w:val="28"/>
          <w:szCs w:val="28"/>
        </w:rPr>
      </w:pPr>
      <w:r>
        <w:rPr>
          <w:rFonts w:cs="Times New Roman" w:ascii="Times New Roman" w:hAnsi="Times New Roman"/>
          <w:sz w:val="28"/>
          <w:szCs w:val="28"/>
        </w:rPr>
        <w:t xml:space="preserve">4.4.8. Здоровье учащихся (динамика); </w:t>
      </w:r>
    </w:p>
    <w:p>
      <w:pPr>
        <w:pStyle w:val="Normal"/>
        <w:rPr>
          <w:rFonts w:ascii="Times New Roman" w:hAnsi="Times New Roman" w:cs="Times New Roman"/>
          <w:sz w:val="28"/>
          <w:szCs w:val="28"/>
        </w:rPr>
      </w:pPr>
      <w:r>
        <w:rPr>
          <w:rFonts w:cs="Times New Roman" w:ascii="Times New Roman" w:hAnsi="Times New Roman"/>
          <w:sz w:val="28"/>
          <w:szCs w:val="28"/>
        </w:rPr>
        <w:t xml:space="preserve">4.4.9. Достижения учащихся на конкурсах, соревнованиях, олимпиадах; </w:t>
      </w:r>
    </w:p>
    <w:p>
      <w:pPr>
        <w:pStyle w:val="Normal"/>
        <w:rPr>
          <w:rFonts w:ascii="Times New Roman" w:hAnsi="Times New Roman" w:cs="Times New Roman"/>
          <w:sz w:val="28"/>
          <w:szCs w:val="28"/>
        </w:rPr>
      </w:pPr>
      <w:r>
        <w:rPr>
          <w:rFonts w:cs="Times New Roman" w:ascii="Times New Roman" w:hAnsi="Times New Roman"/>
          <w:sz w:val="28"/>
          <w:szCs w:val="28"/>
        </w:rPr>
        <w:t xml:space="preserve">4.4.10. Удовлетворенность родителей (законных представителей) качеством образовательных услуг. </w:t>
      </w:r>
    </w:p>
    <w:p>
      <w:pPr>
        <w:pStyle w:val="Normal"/>
        <w:rPr>
          <w:rFonts w:ascii="Times New Roman" w:hAnsi="Times New Roman" w:cs="Times New Roman"/>
          <w:sz w:val="28"/>
          <w:szCs w:val="28"/>
        </w:rPr>
      </w:pPr>
      <w:r>
        <w:rPr>
          <w:rFonts w:cs="Times New Roman" w:ascii="Times New Roman" w:hAnsi="Times New Roman"/>
          <w:sz w:val="28"/>
          <w:szCs w:val="28"/>
        </w:rPr>
        <w:t>4.4.11. Все образовательные достижения обучающегося подлежат учету.</w:t>
      </w:r>
    </w:p>
    <w:p>
      <w:pPr>
        <w:pStyle w:val="Normal"/>
        <w:rPr>
          <w:rFonts w:ascii="Times New Roman" w:hAnsi="Times New Roman" w:cs="Times New Roman"/>
          <w:b/>
          <w:b/>
          <w:sz w:val="28"/>
          <w:szCs w:val="28"/>
        </w:rPr>
      </w:pPr>
      <w:r>
        <w:rPr>
          <w:rFonts w:cs="Times New Roman" w:ascii="Times New Roman" w:hAnsi="Times New Roman"/>
          <w:b/>
          <w:sz w:val="28"/>
          <w:szCs w:val="28"/>
        </w:rPr>
        <w:t>4.5. ВСОКО и ВШК</w:t>
      </w:r>
    </w:p>
    <w:p>
      <w:pPr>
        <w:pStyle w:val="Normal"/>
        <w:rPr>
          <w:rFonts w:ascii="Times New Roman" w:hAnsi="Times New Roman" w:cs="Times New Roman"/>
          <w:sz w:val="28"/>
          <w:szCs w:val="28"/>
        </w:rPr>
      </w:pPr>
      <w:r>
        <w:rPr>
          <w:rFonts w:cs="Times New Roman" w:ascii="Times New Roman" w:hAnsi="Times New Roman"/>
          <w:b/>
          <w:sz w:val="28"/>
          <w:szCs w:val="28"/>
        </w:rPr>
        <w:t xml:space="preserve"> </w:t>
      </w:r>
      <w:r>
        <w:rPr>
          <w:rFonts w:cs="Times New Roman" w:ascii="Times New Roman" w:hAnsi="Times New Roman"/>
          <w:sz w:val="28"/>
          <w:szCs w:val="28"/>
        </w:rPr>
        <w:t>Мероприятия ВШК являются неотъемлемой частью ВСОКО</w:t>
      </w:r>
    </w:p>
    <w:p>
      <w:pPr>
        <w:pStyle w:val="Normal"/>
        <w:rPr>
          <w:rFonts w:ascii="Times New Roman" w:hAnsi="Times New Roman" w:cs="Times New Roman"/>
          <w:sz w:val="28"/>
          <w:szCs w:val="28"/>
        </w:rPr>
      </w:pPr>
      <w:r>
        <w:rPr>
          <w:rFonts w:cs="Times New Roman" w:ascii="Times New Roman" w:hAnsi="Times New Roman"/>
          <w:sz w:val="28"/>
          <w:szCs w:val="28"/>
        </w:rPr>
        <w:t xml:space="preserve">4.5.2. Мероприятия ВШК и обеспечивающие их контрольно-оценочные процедуры ВСОКО включаются в годовой план работы Гимназии. </w:t>
      </w:r>
    </w:p>
    <w:p>
      <w:pPr>
        <w:pStyle w:val="Normal"/>
        <w:rPr>
          <w:rFonts w:ascii="Times New Roman" w:hAnsi="Times New Roman" w:cs="Times New Roman"/>
          <w:sz w:val="28"/>
          <w:szCs w:val="28"/>
        </w:rPr>
      </w:pPr>
      <w:r>
        <w:rPr>
          <w:rFonts w:cs="Times New Roman" w:ascii="Times New Roman" w:hAnsi="Times New Roman"/>
          <w:sz w:val="28"/>
          <w:szCs w:val="28"/>
        </w:rPr>
        <w:t xml:space="preserve">Данные ВШК используются для установления обратной связи субъектов управления качеством образования в Гимназии. </w:t>
      </w:r>
    </w:p>
    <w:p>
      <w:pPr>
        <w:pStyle w:val="Normal"/>
        <w:rPr>
          <w:rFonts w:ascii="Times New Roman" w:hAnsi="Times New Roman" w:cs="Times New Roman"/>
          <w:sz w:val="28"/>
          <w:szCs w:val="28"/>
        </w:rPr>
      </w:pPr>
      <w:r>
        <w:rPr>
          <w:rFonts w:cs="Times New Roman" w:ascii="Times New Roman" w:hAnsi="Times New Roman"/>
          <w:sz w:val="28"/>
          <w:szCs w:val="28"/>
        </w:rPr>
        <w:t xml:space="preserve">Данные ВШК выступают предметом различных мониторингов, перечень которых определен настоящим Положением. </w:t>
      </w:r>
    </w:p>
    <w:p>
      <w:pPr>
        <w:pStyle w:val="Normal"/>
        <w:rPr>
          <w:rFonts w:ascii="Times New Roman" w:hAnsi="Times New Roman" w:cs="Times New Roman"/>
          <w:b/>
          <w:b/>
          <w:sz w:val="28"/>
          <w:szCs w:val="28"/>
        </w:rPr>
      </w:pPr>
      <w:r>
        <w:rPr>
          <w:rFonts w:cs="Times New Roman" w:ascii="Times New Roman" w:hAnsi="Times New Roman"/>
          <w:b/>
          <w:sz w:val="28"/>
          <w:szCs w:val="28"/>
        </w:rPr>
        <w:t xml:space="preserve">4.6. Мониторинги в рамках ВСОКО </w:t>
      </w:r>
    </w:p>
    <w:p>
      <w:pPr>
        <w:pStyle w:val="Normal"/>
        <w:rPr>
          <w:rFonts w:ascii="Times New Roman" w:hAnsi="Times New Roman" w:cs="Times New Roman"/>
          <w:sz w:val="28"/>
          <w:szCs w:val="28"/>
        </w:rPr>
      </w:pPr>
      <w:r>
        <w:rPr>
          <w:rFonts w:cs="Times New Roman" w:ascii="Times New Roman" w:hAnsi="Times New Roman"/>
          <w:sz w:val="28"/>
          <w:szCs w:val="28"/>
        </w:rPr>
        <w:t>4.6.1.Мониторинг обеспечивается оценочно-диагностическим инструментарием и имеет заданную траекторию анализа показателей наблюдения.</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4.6.2. Различают:</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обязательные мониторинги, которые проводятся по требованиям ФГОС НОО;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мониторинг показателей отчета о самообследовании;</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мониторинги, которые проводятся в соответствии с программой развития Гимназия. </w:t>
      </w:r>
    </w:p>
    <w:p>
      <w:pPr>
        <w:pStyle w:val="Normal"/>
        <w:rPr>
          <w:rFonts w:ascii="Times New Roman" w:hAnsi="Times New Roman" w:cs="Times New Roman"/>
          <w:sz w:val="28"/>
          <w:szCs w:val="28"/>
        </w:rPr>
      </w:pPr>
      <w:r>
        <w:rPr>
          <w:rFonts w:cs="Times New Roman" w:ascii="Times New Roman" w:hAnsi="Times New Roman"/>
          <w:sz w:val="28"/>
          <w:szCs w:val="28"/>
        </w:rPr>
        <w:t xml:space="preserve">4.6.3. К мониторингам в рамках ВСОКО относят обязательные мониторинги: </w:t>
      </w:r>
      <w:r>
        <w:rPr>
          <w:rFonts w:eastAsia="Symbol" w:cs="Symbol" w:ascii="Symbol" w:hAnsi="Symbol"/>
          <w:sz w:val="28"/>
          <w:szCs w:val="28"/>
        </w:rPr>
        <w:t></w:t>
      </w:r>
      <w:r>
        <w:rPr>
          <w:rFonts w:cs="Times New Roman" w:ascii="Times New Roman" w:hAnsi="Times New Roman"/>
          <w:sz w:val="28"/>
          <w:szCs w:val="28"/>
        </w:rPr>
        <w:t xml:space="preserve"> личностного развития обучающихся;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достижения обучающимися метапредметных образовательных результатов; </w:t>
      </w:r>
      <w:r>
        <w:rPr>
          <w:rFonts w:eastAsia="Symbol" w:cs="Symbol" w:ascii="Symbol" w:hAnsi="Symbol"/>
          <w:sz w:val="28"/>
          <w:szCs w:val="28"/>
        </w:rPr>
        <w:t></w:t>
      </w:r>
      <w:r>
        <w:rPr>
          <w:rFonts w:cs="Times New Roman" w:ascii="Times New Roman" w:hAnsi="Times New Roman"/>
          <w:sz w:val="28"/>
          <w:szCs w:val="28"/>
        </w:rPr>
        <w:t xml:space="preserve"> выполнения «дорожной карты» развития условий реализации образовательных программ;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показателей отчета о самообследовании</w:t>
      </w:r>
    </w:p>
    <w:p>
      <w:pPr>
        <w:pStyle w:val="Normal"/>
        <w:rPr>
          <w:rFonts w:ascii="Times New Roman" w:hAnsi="Times New Roman" w:cs="Times New Roman"/>
          <w:b/>
          <w:b/>
          <w:sz w:val="28"/>
          <w:szCs w:val="28"/>
        </w:rPr>
      </w:pPr>
      <w:r>
        <w:rPr>
          <w:rFonts w:cs="Times New Roman" w:ascii="Times New Roman" w:hAnsi="Times New Roman"/>
          <w:b/>
          <w:sz w:val="28"/>
          <w:szCs w:val="28"/>
        </w:rPr>
        <w:t xml:space="preserve">4.7. Документация ВСОКО </w:t>
      </w:r>
    </w:p>
    <w:p>
      <w:pPr>
        <w:pStyle w:val="Normal"/>
        <w:rPr>
          <w:rFonts w:ascii="Times New Roman" w:hAnsi="Times New Roman" w:cs="Times New Roman"/>
          <w:sz w:val="28"/>
          <w:szCs w:val="28"/>
        </w:rPr>
      </w:pPr>
      <w:r>
        <w:rPr>
          <w:rFonts w:cs="Times New Roman" w:ascii="Times New Roman" w:hAnsi="Times New Roman"/>
          <w:sz w:val="28"/>
          <w:szCs w:val="28"/>
        </w:rPr>
        <w:t xml:space="preserve">4.7.1. Документация ВСОКО — это совокупность информационно-аналитических продуктов контрольно-оценочной деятельности субъектов ВСОКО. </w:t>
      </w:r>
    </w:p>
    <w:p>
      <w:pPr>
        <w:pStyle w:val="Normal"/>
        <w:rPr>
          <w:rFonts w:ascii="Times New Roman" w:hAnsi="Times New Roman" w:cs="Times New Roman"/>
          <w:sz w:val="28"/>
          <w:szCs w:val="28"/>
        </w:rPr>
      </w:pPr>
      <w:r>
        <w:rPr>
          <w:rFonts w:cs="Times New Roman" w:ascii="Times New Roman" w:hAnsi="Times New Roman"/>
          <w:sz w:val="28"/>
          <w:szCs w:val="28"/>
        </w:rPr>
        <w:t>4.7.2. Обязательным, подлежащим размещению на сайте Учреждения документом ВСОКО является отчет о самообследовании.</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4.7.3. Для внутреннего использования субъекты ВСОКО готовят справки по результатам ВШК, аналитические записки в случае внепланового контроля в одном из направлений ВСОКО и сводные аналитические справки по итогам мониторингов.</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4.7.4. Состав конкретных документов ВСОКО ежегодно обновляется и утверждается приказом руководителя Учреждения об организации и проведении контрольно-оценочной деятельности и подготовке отчета о самообследовании. </w:t>
      </w:r>
    </w:p>
    <w:p>
      <w:pPr>
        <w:pStyle w:val="Normal"/>
        <w:rPr>
          <w:rFonts w:ascii="Times New Roman" w:hAnsi="Times New Roman" w:cs="Times New Roman"/>
          <w:sz w:val="28"/>
          <w:szCs w:val="28"/>
        </w:rPr>
      </w:pPr>
      <w:r>
        <w:rPr>
          <w:rFonts w:cs="Times New Roman" w:ascii="Times New Roman" w:hAnsi="Times New Roman"/>
          <w:sz w:val="28"/>
          <w:szCs w:val="28"/>
        </w:rPr>
        <w:t>4.7.5. Должностное лицо, координирующее своевременную и качественную подготовку документов ВСОКО, ежегодно назначается приказом руководителя Гимназия.</w:t>
      </w:r>
    </w:p>
    <w:p>
      <w:pPr>
        <w:pStyle w:val="Normal"/>
        <w:jc w:val="center"/>
        <w:rPr>
          <w:rFonts w:ascii="Times New Roman" w:hAnsi="Times New Roman" w:cs="Times New Roman"/>
          <w:b/>
          <w:b/>
          <w:sz w:val="28"/>
          <w:szCs w:val="28"/>
        </w:rPr>
      </w:pPr>
      <w:r>
        <w:rPr>
          <w:rFonts w:cs="Times New Roman" w:ascii="Times New Roman" w:hAnsi="Times New Roman"/>
          <w:b/>
          <w:sz w:val="28"/>
          <w:szCs w:val="28"/>
        </w:rPr>
        <w:t>5. Заключительные положения</w:t>
      </w:r>
    </w:p>
    <w:p>
      <w:pPr>
        <w:pStyle w:val="Normal"/>
        <w:rPr>
          <w:rFonts w:ascii="Times New Roman" w:hAnsi="Times New Roman" w:cs="Times New Roman"/>
          <w:sz w:val="28"/>
          <w:szCs w:val="28"/>
        </w:rPr>
      </w:pPr>
      <w:r>
        <w:rPr>
          <w:rFonts w:cs="Times New Roman" w:ascii="Times New Roman" w:hAnsi="Times New Roman"/>
          <w:sz w:val="28"/>
          <w:szCs w:val="28"/>
        </w:rPr>
        <w:t xml:space="preserve">5.1. Внутренняя система оценки качества образования реализуется посредством существующих процедур и экспертной оценки качества образования. </w:t>
      </w:r>
    </w:p>
    <w:p>
      <w:pPr>
        <w:pStyle w:val="Normal"/>
        <w:rPr>
          <w:rFonts w:ascii="Times New Roman" w:hAnsi="Times New Roman" w:cs="Times New Roman"/>
          <w:sz w:val="28"/>
          <w:szCs w:val="28"/>
        </w:rPr>
      </w:pPr>
      <w:r>
        <w:rPr>
          <w:rFonts w:cs="Times New Roman" w:ascii="Times New Roman" w:hAnsi="Times New Roman"/>
          <w:sz w:val="28"/>
          <w:szCs w:val="28"/>
        </w:rPr>
        <w:t>5.2. В качестве инструмента, призванного наполнить содержанием оценку и обеспечить измерение результатов деятельности Гимназии, привлекаются ресурсы классного журнала.</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5.3. Для проведения внутренней системы оценки качества образования из всего спектра получаемых в рамках информационной внутренней системы оценки качества образования показателей определяется набор ключевых показателей, позволяющих провести сопоставительный анализ образовательной системы Гимназии. Совокупность показателей обеспечивает возможность описания состояния системы, дает общую оценку результативности ее деятельности. </w:t>
      </w:r>
    </w:p>
    <w:p>
      <w:pPr>
        <w:pStyle w:val="Normal"/>
        <w:rPr>
          <w:rFonts w:ascii="Times New Roman" w:hAnsi="Times New Roman" w:cs="Times New Roman"/>
          <w:sz w:val="28"/>
          <w:szCs w:val="28"/>
        </w:rPr>
      </w:pPr>
      <w:r>
        <w:rPr>
          <w:rFonts w:cs="Times New Roman" w:ascii="Times New Roman" w:hAnsi="Times New Roman"/>
          <w:sz w:val="28"/>
          <w:szCs w:val="28"/>
        </w:rPr>
        <w:t xml:space="preserve">5.4. Периодичность проведения внутренней системы оценки качества образования, субъекты оценочной деятельности устанавливаются в плане внутренней системы оценки качества образования / циклограмме внутренней системы оценки качества образования. </w:t>
      </w:r>
    </w:p>
    <w:p>
      <w:pPr>
        <w:pStyle w:val="Normal"/>
        <w:rPr>
          <w:rFonts w:ascii="Times New Roman" w:hAnsi="Times New Roman" w:cs="Times New Roman"/>
          <w:sz w:val="28"/>
          <w:szCs w:val="28"/>
        </w:rPr>
      </w:pPr>
      <w:r>
        <w:rPr>
          <w:rFonts w:cs="Times New Roman" w:ascii="Times New Roman" w:hAnsi="Times New Roman"/>
          <w:sz w:val="28"/>
          <w:szCs w:val="28"/>
        </w:rPr>
        <w:t>5.5. Гласность и открытость результатов внутренней системы оценки качества образования осуществляется путем предоставления информации:</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основным участникам образовательных отношений результатов внутренней системы оценки качества образования;</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средствам массовой информации;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размещение аналитических материалов самообследования, результатов функционирования внутренней оценки качества образования на официальном сайте образовательной организации.</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5.6. Настоящее Положение реализуется во взаимосвязи с положением о фонде оплаты труда в Гимназии, положением о формах, периодичности, порядке текущего контроля и промежуточной аттестации обучающихся. </w:t>
      </w:r>
    </w:p>
    <w:p>
      <w:pPr>
        <w:pStyle w:val="Normal"/>
        <w:rPr>
          <w:rFonts w:ascii="Times New Roman" w:hAnsi="Times New Roman" w:cs="Times New Roman"/>
          <w:sz w:val="28"/>
          <w:szCs w:val="28"/>
        </w:rPr>
      </w:pPr>
      <w:r>
        <w:rPr>
          <w:rFonts w:cs="Times New Roman" w:ascii="Times New Roman" w:hAnsi="Times New Roman"/>
          <w:sz w:val="28"/>
          <w:szCs w:val="28"/>
        </w:rPr>
        <w:t>5.7. Изменения в настоящее Положение вносятся согласно порядку, предусмотренному уставом Гимназии.</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5.8. Основания для внесения изменений в настоящее Положение: </w:t>
      </w:r>
    </w:p>
    <w:p>
      <w:pPr>
        <w:pStyle w:val="Normal"/>
        <w:rPr>
          <w:rFonts w:ascii="Times New Roman" w:hAnsi="Times New Roman" w:cs="Times New Roman"/>
          <w:sz w:val="28"/>
          <w:szCs w:val="28"/>
        </w:rPr>
      </w:pP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изменение законодательства в сфере образования, в том числе принятие новой редакции ФГОС;</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eastAsia="Symbol" w:cs="Symbol" w:ascii="Symbol" w:hAnsi="Symbol"/>
          <w:sz w:val="28"/>
          <w:szCs w:val="28"/>
        </w:rPr>
        <w:t></w:t>
      </w:r>
      <w:r>
        <w:rPr>
          <w:rFonts w:cs="Times New Roman" w:ascii="Times New Roman" w:hAnsi="Times New Roman"/>
          <w:sz w:val="28"/>
          <w:szCs w:val="28"/>
        </w:rPr>
        <w:t xml:space="preserve"> </w:t>
      </w:r>
      <w:r>
        <w:rPr>
          <w:rFonts w:cs="Times New Roman" w:ascii="Times New Roman" w:hAnsi="Times New Roman"/>
          <w:sz w:val="28"/>
          <w:szCs w:val="28"/>
        </w:rPr>
        <w:t xml:space="preserve">существенные корректировки смежных локальных актов, влияющих на содержание ВСОКО. </w:t>
      </w:r>
    </w:p>
    <w:p>
      <w:pPr>
        <w:pStyle w:val="Normal"/>
        <w:rPr>
          <w:rFonts w:ascii="Times New Roman" w:hAnsi="Times New Roman" w:cs="Times New Roman"/>
          <w:sz w:val="28"/>
          <w:szCs w:val="28"/>
        </w:rPr>
      </w:pPr>
      <w:r>
        <w:rPr>
          <w:rFonts w:cs="Times New Roman" w:ascii="Times New Roman" w:hAnsi="Times New Roman"/>
          <w:sz w:val="28"/>
          <w:szCs w:val="28"/>
        </w:rPr>
        <w:t>5.9. Текст настоящего Положения подлежит размещению в установленном порядке на официальном сайте Гимназии.</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jc w:val="right"/>
        <w:rPr>
          <w:rFonts w:ascii="Times New Roman" w:hAnsi="Times New Roman" w:cs="Times New Roman"/>
          <w:b/>
          <w:b/>
          <w:sz w:val="28"/>
          <w:szCs w:val="28"/>
        </w:rPr>
      </w:pPr>
      <w:r>
        <w:rPr>
          <w:rFonts w:cs="Times New Roman" w:ascii="Times New Roman" w:hAnsi="Times New Roman"/>
          <w:b/>
          <w:sz w:val="28"/>
          <w:szCs w:val="28"/>
        </w:rPr>
        <w:t xml:space="preserve">Приложение 1 </w:t>
      </w:r>
    </w:p>
    <w:p>
      <w:pPr>
        <w:pStyle w:val="Normal"/>
        <w:rPr>
          <w:rFonts w:ascii="Times New Roman" w:hAnsi="Times New Roman" w:cs="Times New Roman"/>
          <w:b/>
          <w:b/>
          <w:sz w:val="28"/>
          <w:szCs w:val="28"/>
        </w:rPr>
      </w:pPr>
      <w:r>
        <w:rPr>
          <w:rFonts w:cs="Times New Roman" w:ascii="Times New Roman" w:hAnsi="Times New Roman"/>
          <w:b/>
          <w:sz w:val="28"/>
          <w:szCs w:val="28"/>
        </w:rPr>
        <w:t xml:space="preserve">Критерии оценки образовательных программ </w:t>
      </w:r>
    </w:p>
    <w:tbl>
      <w:tblPr>
        <w:tblStyle w:val="a7"/>
        <w:tblW w:w="9571" w:type="dxa"/>
        <w:jc w:val="left"/>
        <w:tblInd w:w="0" w:type="dxa"/>
        <w:tblCellMar>
          <w:top w:w="0" w:type="dxa"/>
          <w:left w:w="108" w:type="dxa"/>
          <w:bottom w:w="0" w:type="dxa"/>
          <w:right w:w="108" w:type="dxa"/>
        </w:tblCellMar>
        <w:tblLook w:val="04a0"/>
      </w:tblPr>
      <w:tblGrid>
        <w:gridCol w:w="959"/>
        <w:gridCol w:w="5421"/>
        <w:gridCol w:w="3191"/>
      </w:tblGrid>
      <w:tr>
        <w:trPr/>
        <w:tc>
          <w:tcPr>
            <w:tcW w:w="959"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w:t>
            </w:r>
          </w:p>
        </w:tc>
        <w:tc>
          <w:tcPr>
            <w:tcW w:w="5421" w:type="dxa"/>
            <w:tcBorders/>
            <w:shd w:fill="auto" w:val="clear"/>
          </w:tcPr>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t xml:space="preserve">Критерии оценки </w:t>
            </w:r>
          </w:p>
        </w:tc>
        <w:tc>
          <w:tcPr>
            <w:tcW w:w="3191" w:type="dxa"/>
            <w:tcBorders/>
            <w:shd w:fill="auto" w:val="clear"/>
          </w:tcPr>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t>Единица измерения</w:t>
            </w:r>
          </w:p>
        </w:tc>
      </w:tr>
      <w:tr>
        <w:trPr/>
        <w:tc>
          <w:tcPr>
            <w:tcW w:w="9571" w:type="dxa"/>
            <w:gridSpan w:val="3"/>
            <w:tcBorders/>
            <w:shd w:fill="auto" w:val="clea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1. Образовательная деятельность:</w:t>
            </w:r>
          </w:p>
        </w:tc>
      </w:tr>
      <w:tr>
        <w:trPr/>
        <w:tc>
          <w:tcPr>
            <w:tcW w:w="959"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1.1</w:t>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Общая численность обучающихся, осваивающих основную образовательную программу начального общего образования</w:t>
            </w:r>
          </w:p>
        </w:tc>
        <w:tc>
          <w:tcPr>
            <w:tcW w:w="319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Количество человек</w:t>
            </w:r>
          </w:p>
        </w:tc>
      </w:tr>
      <w:tr>
        <w:trPr/>
        <w:tc>
          <w:tcPr>
            <w:tcW w:w="959" w:type="dxa"/>
            <w:vMerge w:val="restart"/>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1.2</w:t>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Формы получения образования в ОО:</w:t>
            </w:r>
          </w:p>
        </w:tc>
        <w:tc>
          <w:tcPr>
            <w:tcW w:w="319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r>
      <w:tr>
        <w:trPr/>
        <w:tc>
          <w:tcPr>
            <w:tcW w:w="959" w:type="dxa"/>
            <w:vMerge w:val="continue"/>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очная</w:t>
            </w:r>
          </w:p>
        </w:tc>
        <w:tc>
          <w:tcPr>
            <w:tcW w:w="3191" w:type="dxa"/>
            <w:vMerge w:val="restart"/>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Имеется / не имеется Количество человек</w:t>
            </w:r>
          </w:p>
        </w:tc>
      </w:tr>
      <w:tr>
        <w:trPr/>
        <w:tc>
          <w:tcPr>
            <w:tcW w:w="959" w:type="dxa"/>
            <w:vMerge w:val="continue"/>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очно-заочная</w:t>
            </w:r>
          </w:p>
        </w:tc>
        <w:tc>
          <w:tcPr>
            <w:tcW w:w="3191" w:type="dxa"/>
            <w:vMerge w:val="continue"/>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r>
      <w:tr>
        <w:trPr/>
        <w:tc>
          <w:tcPr>
            <w:tcW w:w="959" w:type="dxa"/>
            <w:vMerge w:val="continue"/>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заочная</w:t>
            </w:r>
          </w:p>
        </w:tc>
        <w:tc>
          <w:tcPr>
            <w:tcW w:w="3191" w:type="dxa"/>
            <w:vMerge w:val="continue"/>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r>
      <w:tr>
        <w:trPr/>
        <w:tc>
          <w:tcPr>
            <w:tcW w:w="959"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1.3</w:t>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Реализация ООП по уровням общего образования:</w:t>
            </w:r>
          </w:p>
        </w:tc>
        <w:tc>
          <w:tcPr>
            <w:tcW w:w="319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r>
      <w:tr>
        <w:trPr/>
        <w:tc>
          <w:tcPr>
            <w:tcW w:w="959"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сетевая форма</w:t>
            </w:r>
          </w:p>
        </w:tc>
        <w:tc>
          <w:tcPr>
            <w:tcW w:w="3191" w:type="dxa"/>
            <w:vMerge w:val="restart"/>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Имеется / не имеется Количество человек</w:t>
            </w:r>
          </w:p>
        </w:tc>
      </w:tr>
      <w:tr>
        <w:trPr/>
        <w:tc>
          <w:tcPr>
            <w:tcW w:w="959"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с применением дистанционных образовательных технологий</w:t>
            </w:r>
          </w:p>
        </w:tc>
        <w:tc>
          <w:tcPr>
            <w:tcW w:w="3191" w:type="dxa"/>
            <w:vMerge w:val="continue"/>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r>
      <w:tr>
        <w:trPr/>
        <w:tc>
          <w:tcPr>
            <w:tcW w:w="959"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с применением электронного обучения</w:t>
            </w:r>
          </w:p>
        </w:tc>
        <w:tc>
          <w:tcPr>
            <w:tcW w:w="3191" w:type="dxa"/>
            <w:vMerge w:val="continue"/>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r>
      <w:tr>
        <w:trPr/>
        <w:tc>
          <w:tcPr>
            <w:tcW w:w="9571" w:type="dxa"/>
            <w:gridSpan w:val="3"/>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2. </w:t>
            </w:r>
            <w:r>
              <w:rPr>
                <w:rFonts w:cs="Times New Roman" w:ascii="Times New Roman" w:hAnsi="Times New Roman"/>
                <w:b/>
                <w:sz w:val="28"/>
                <w:szCs w:val="28"/>
              </w:rPr>
              <w:t>Соответствие образовательной программы требованиям ФГОС НОО</w:t>
            </w:r>
          </w:p>
        </w:tc>
      </w:tr>
      <w:tr>
        <w:trPr/>
        <w:tc>
          <w:tcPr>
            <w:tcW w:w="959"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2.1</w:t>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Соответствие структуры ООП требованиям ФГОС</w:t>
            </w:r>
          </w:p>
        </w:tc>
        <w:tc>
          <w:tcPr>
            <w:tcW w:w="319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Соответствует / не соответствует</w:t>
            </w:r>
          </w:p>
        </w:tc>
      </w:tr>
      <w:tr>
        <w:trPr/>
        <w:tc>
          <w:tcPr>
            <w:tcW w:w="959"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2.2</w:t>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Наличие материалов, подтверждающих реализацию в ООП части, формируемой участниками образовательных отношений</w:t>
            </w:r>
          </w:p>
        </w:tc>
        <w:tc>
          <w:tcPr>
            <w:tcW w:w="319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Имеется / не имеется</w:t>
            </w:r>
          </w:p>
        </w:tc>
      </w:tr>
      <w:tr>
        <w:trPr/>
        <w:tc>
          <w:tcPr>
            <w:tcW w:w="959"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2.3</w:t>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Соответствие объема части ООП, формируемой участниками образовательных отношений, требованиям ФГОС НОО</w:t>
            </w:r>
          </w:p>
        </w:tc>
        <w:tc>
          <w:tcPr>
            <w:tcW w:w="319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Соответствует / не соответствует</w:t>
            </w:r>
          </w:p>
        </w:tc>
      </w:tr>
      <w:tr>
        <w:trPr/>
        <w:tc>
          <w:tcPr>
            <w:tcW w:w="959"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2.4</w:t>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Отражение в пояснительной записке к ООП специфики и традиций образовательной организации, социального запроса потребителей образовательных услуг</w:t>
            </w:r>
          </w:p>
        </w:tc>
        <w:tc>
          <w:tcPr>
            <w:tcW w:w="319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8"/>
              <w:rPr>
                <w:rFonts w:ascii="Times New Roman" w:hAnsi="Times New Roman" w:cs="Times New Roman"/>
                <w:sz w:val="28"/>
                <w:szCs w:val="28"/>
              </w:rPr>
            </w:pPr>
            <w:r>
              <w:rPr>
                <w:rFonts w:cs="Times New Roman" w:ascii="Times New Roman" w:hAnsi="Times New Roman"/>
                <w:sz w:val="28"/>
                <w:szCs w:val="28"/>
              </w:rPr>
            </w:r>
          </w:p>
        </w:tc>
      </w:tr>
      <w:tr>
        <w:trPr/>
        <w:tc>
          <w:tcPr>
            <w:tcW w:w="959"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2.5</w:t>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Соответствие учебного плана ООП требованиям ФГОС ОО по составу предметных областей и наименованиям учебных предметов </w:t>
            </w:r>
          </w:p>
        </w:tc>
        <w:tc>
          <w:tcPr>
            <w:tcW w:w="319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Соответствует / не соответствует</w:t>
            </w:r>
          </w:p>
        </w:tc>
      </w:tr>
      <w:tr>
        <w:trPr/>
        <w:tc>
          <w:tcPr>
            <w:tcW w:w="959"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2.6</w:t>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Соответствие учебного плана ООП требованиям ФГОС ОО по объему часов </w:t>
            </w:r>
          </w:p>
        </w:tc>
        <w:tc>
          <w:tcPr>
            <w:tcW w:w="319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Соответствует / не соответствует</w:t>
            </w:r>
          </w:p>
        </w:tc>
      </w:tr>
      <w:tr>
        <w:trPr/>
        <w:tc>
          <w:tcPr>
            <w:tcW w:w="959"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2.7</w:t>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Соответствие учебного плана ООП требованиям </w:t>
            </w:r>
          </w:p>
        </w:tc>
        <w:tc>
          <w:tcPr>
            <w:tcW w:w="319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Соответствует / не соответствует</w:t>
            </w:r>
          </w:p>
        </w:tc>
      </w:tr>
      <w:tr>
        <w:trPr/>
        <w:tc>
          <w:tcPr>
            <w:tcW w:w="959"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2.8</w:t>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Наличие рабочих программ, предметов, курсов, дисциплин (модулей) по всем предметам учебного плана, их соответствие требованиям ФГОС НОО</w:t>
            </w:r>
          </w:p>
        </w:tc>
        <w:tc>
          <w:tcPr>
            <w:tcW w:w="319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Имеется / не имеется</w:t>
            </w:r>
          </w:p>
        </w:tc>
      </w:tr>
      <w:tr>
        <w:trPr/>
        <w:tc>
          <w:tcPr>
            <w:tcW w:w="959"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2.9</w:t>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Наличие рабочих программ курсов части учебного плана, формируемой участниками образовательных отношений</w:t>
            </w:r>
          </w:p>
        </w:tc>
        <w:tc>
          <w:tcPr>
            <w:tcW w:w="319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Имеется / не имеется</w:t>
            </w:r>
          </w:p>
        </w:tc>
      </w:tr>
      <w:tr>
        <w:trPr/>
        <w:tc>
          <w:tcPr>
            <w:tcW w:w="959"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2.10</w:t>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Отношение количества рабочих программ курсов части учебного плана, формируемой участниками образовательных отношений, к количеству обучающихся, осваивающих ООП</w:t>
            </w:r>
          </w:p>
        </w:tc>
        <w:tc>
          <w:tcPr>
            <w:tcW w:w="319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r>
      <w:tr>
        <w:trPr/>
        <w:tc>
          <w:tcPr>
            <w:tcW w:w="959"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2.11</w:t>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Наличие и количество индивидуальных учебных планов для обучающихся:</w:t>
            </w:r>
          </w:p>
        </w:tc>
        <w:tc>
          <w:tcPr>
            <w:tcW w:w="319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r>
      <w:tr>
        <w:trPr/>
        <w:tc>
          <w:tcPr>
            <w:tcW w:w="959"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с ОВЗ на основаниях инклюзии в классах с нормативно развивающимися сверстниками</w:t>
            </w:r>
          </w:p>
        </w:tc>
        <w:tc>
          <w:tcPr>
            <w:tcW w:w="319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r>
      <w:tr>
        <w:trPr/>
        <w:tc>
          <w:tcPr>
            <w:tcW w:w="959"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2.12</w:t>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Наличие плана внеурочной деятельности</w:t>
            </w:r>
          </w:p>
        </w:tc>
        <w:tc>
          <w:tcPr>
            <w:tcW w:w="319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Имеется / не имеется</w:t>
            </w:r>
          </w:p>
        </w:tc>
      </w:tr>
      <w:tr>
        <w:trPr/>
        <w:tc>
          <w:tcPr>
            <w:tcW w:w="959"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2.13</w:t>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Соответствие плана внеурочной деятельности требованиям ФГОС НОО по составу и наименованию направлений внеурочной деятельности</w:t>
            </w:r>
          </w:p>
        </w:tc>
        <w:tc>
          <w:tcPr>
            <w:tcW w:w="319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Соответствует / не соответствует</w:t>
            </w:r>
          </w:p>
        </w:tc>
      </w:tr>
      <w:tr>
        <w:trPr/>
        <w:tc>
          <w:tcPr>
            <w:tcW w:w="959"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2.14</w:t>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Соответствие плана внеурочной деятельности требованиям ФГОС ОО по объему часов</w:t>
            </w:r>
          </w:p>
        </w:tc>
        <w:tc>
          <w:tcPr>
            <w:tcW w:w="319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Соответствует / не соответствует</w:t>
            </w:r>
          </w:p>
        </w:tc>
      </w:tr>
      <w:tr>
        <w:trPr/>
        <w:tc>
          <w:tcPr>
            <w:tcW w:w="959"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2.15</w:t>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Соответствие мероприятий плана внеурочной деятельности планируемым результатам ООП, в том числе программе формирования и развития УУД и программе воспитания</w:t>
            </w:r>
          </w:p>
        </w:tc>
        <w:tc>
          <w:tcPr>
            <w:tcW w:w="319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Соответствует / не соответствует</w:t>
            </w:r>
          </w:p>
        </w:tc>
      </w:tr>
      <w:tr>
        <w:trPr/>
        <w:tc>
          <w:tcPr>
            <w:tcW w:w="959"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2.16</w:t>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Наличие рабочих программ курсов внеурочной деятельности для курсов внеурочной деятельности, внесенных в план внеурочной деятельности</w:t>
            </w:r>
          </w:p>
        </w:tc>
        <w:tc>
          <w:tcPr>
            <w:tcW w:w="319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Имеется / не имеется</w:t>
            </w:r>
          </w:p>
        </w:tc>
      </w:tr>
      <w:tr>
        <w:trPr/>
        <w:tc>
          <w:tcPr>
            <w:tcW w:w="959"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2.17</w:t>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Соответствие рабочих программ курсов внеурочной деятельности требованиям ФГОС ОО</w:t>
            </w:r>
          </w:p>
        </w:tc>
        <w:tc>
          <w:tcPr>
            <w:tcW w:w="319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Соответствует / не соответствует</w:t>
            </w:r>
          </w:p>
        </w:tc>
      </w:tr>
      <w:tr>
        <w:trPr/>
        <w:tc>
          <w:tcPr>
            <w:tcW w:w="959"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2.18</w:t>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Отношение количества рабочих программ курсов внеурочной деятельности к требованиям ФГОС ОО к количеству обучающихся, осваивающих ООП</w:t>
            </w:r>
          </w:p>
        </w:tc>
        <w:tc>
          <w:tcPr>
            <w:tcW w:w="319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Количество ед. на одного обучающегося</w:t>
            </w:r>
          </w:p>
        </w:tc>
      </w:tr>
      <w:tr>
        <w:trPr/>
        <w:tc>
          <w:tcPr>
            <w:tcW w:w="959"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2.19</w:t>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Наличие программы формирования и развития УУД</w:t>
            </w:r>
          </w:p>
        </w:tc>
        <w:tc>
          <w:tcPr>
            <w:tcW w:w="319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Имеется / не имеется</w:t>
            </w:r>
          </w:p>
        </w:tc>
      </w:tr>
      <w:tr>
        <w:trPr/>
        <w:tc>
          <w:tcPr>
            <w:tcW w:w="959"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2.20</w:t>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Соответствие программы формирования и развития УУД требованиям ФГОС ОО</w:t>
            </w:r>
          </w:p>
        </w:tc>
        <w:tc>
          <w:tcPr>
            <w:tcW w:w="319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Соответствует / не соответствует</w:t>
            </w:r>
          </w:p>
        </w:tc>
      </w:tr>
      <w:tr>
        <w:trPr/>
        <w:tc>
          <w:tcPr>
            <w:tcW w:w="959"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2.21</w:t>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Доля внеурочных мероприятий программы формирования и развития УУД в общем объеме % программы в часах</w:t>
            </w:r>
          </w:p>
        </w:tc>
        <w:tc>
          <w:tcPr>
            <w:tcW w:w="319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r>
      <w:tr>
        <w:trPr/>
        <w:tc>
          <w:tcPr>
            <w:tcW w:w="959"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2.22</w:t>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Наличие программы воспитания</w:t>
            </w:r>
          </w:p>
        </w:tc>
        <w:tc>
          <w:tcPr>
            <w:tcW w:w="319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Имеется / не имеется</w:t>
            </w:r>
          </w:p>
        </w:tc>
      </w:tr>
      <w:tr>
        <w:trPr/>
        <w:tc>
          <w:tcPr>
            <w:tcW w:w="959"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2.23</w:t>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Соответствие программы воспитания требованиям ФГОС ОО</w:t>
            </w:r>
          </w:p>
        </w:tc>
        <w:tc>
          <w:tcPr>
            <w:tcW w:w="319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Соответствует/ не соответствует</w:t>
            </w:r>
          </w:p>
        </w:tc>
      </w:tr>
      <w:tr>
        <w:trPr/>
        <w:tc>
          <w:tcPr>
            <w:tcW w:w="959"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2.24</w:t>
            </w:r>
          </w:p>
        </w:tc>
        <w:tc>
          <w:tcPr>
            <w:tcW w:w="542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Доля внеурочных мероприятий программы воспитания в общем объеме программы в часах %</w:t>
            </w:r>
          </w:p>
        </w:tc>
        <w:tc>
          <w:tcPr>
            <w:tcW w:w="319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r>
    </w:tbl>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jc w:val="right"/>
        <w:rPr>
          <w:rFonts w:ascii="Times New Roman" w:hAnsi="Times New Roman" w:cs="Times New Roman"/>
          <w:b/>
          <w:b/>
          <w:sz w:val="28"/>
          <w:szCs w:val="28"/>
        </w:rPr>
      </w:pPr>
      <w:r>
        <w:rPr>
          <w:rFonts w:cs="Times New Roman" w:ascii="Times New Roman" w:hAnsi="Times New Roman"/>
          <w:b/>
          <w:sz w:val="28"/>
          <w:szCs w:val="28"/>
        </w:rPr>
        <w:t xml:space="preserve">Приложение 2 </w:t>
      </w:r>
    </w:p>
    <w:p>
      <w:pPr>
        <w:pStyle w:val="Normal"/>
        <w:jc w:val="center"/>
        <w:rPr>
          <w:rFonts w:ascii="Times New Roman" w:hAnsi="Times New Roman" w:cs="Times New Roman"/>
          <w:i/>
          <w:i/>
          <w:sz w:val="28"/>
          <w:szCs w:val="28"/>
        </w:rPr>
      </w:pPr>
      <w:r>
        <w:rPr>
          <w:rFonts w:cs="Times New Roman" w:ascii="Times New Roman" w:hAnsi="Times New Roman"/>
          <w:i/>
          <w:sz w:val="28"/>
          <w:szCs w:val="28"/>
        </w:rPr>
        <w:t>Образец справки по результатам ВШК</w:t>
      </w:r>
    </w:p>
    <w:p>
      <w:pPr>
        <w:pStyle w:val="Normal"/>
        <w:jc w:val="center"/>
        <w:rPr>
          <w:rFonts w:ascii="Times New Roman" w:hAnsi="Times New Roman" w:cs="Times New Roman"/>
          <w:b/>
          <w:b/>
          <w:sz w:val="28"/>
          <w:szCs w:val="28"/>
        </w:rPr>
      </w:pPr>
      <w:r>
        <w:rPr>
          <w:rFonts w:cs="Times New Roman" w:ascii="Times New Roman" w:hAnsi="Times New Roman"/>
          <w:b/>
          <w:sz w:val="28"/>
          <w:szCs w:val="28"/>
        </w:rPr>
        <w:t>Справка по итогам проведения внутришкольного контроля</w:t>
      </w:r>
    </w:p>
    <w:p>
      <w:pPr>
        <w:pStyle w:val="Normal"/>
        <w:jc w:val="center"/>
        <w:rPr>
          <w:rFonts w:ascii="Times New Roman" w:hAnsi="Times New Roman" w:cs="Times New Roman"/>
          <w:b/>
          <w:b/>
          <w:sz w:val="28"/>
          <w:szCs w:val="28"/>
        </w:rPr>
      </w:pPr>
      <w:r>
        <w:rPr>
          <w:rFonts w:cs="Times New Roman" w:ascii="Times New Roman" w:hAnsi="Times New Roman"/>
          <w:b/>
          <w:sz w:val="28"/>
          <w:szCs w:val="28"/>
        </w:rPr>
        <w:t>(предмет контроля)</w:t>
      </w:r>
    </w:p>
    <w:p>
      <w:pPr>
        <w:pStyle w:val="Normal"/>
        <w:rPr>
          <w:rFonts w:ascii="Times New Roman" w:hAnsi="Times New Roman" w:cs="Times New Roman"/>
          <w:sz w:val="28"/>
          <w:szCs w:val="28"/>
        </w:rPr>
      </w:pPr>
      <w:r>
        <w:rPr>
          <w:rFonts w:cs="Times New Roman" w:ascii="Times New Roman" w:hAnsi="Times New Roman"/>
          <w:sz w:val="28"/>
          <w:szCs w:val="28"/>
        </w:rPr>
        <w:t xml:space="preserve">Сроки проведения контроля: </w:t>
      </w:r>
      <w:r>
        <w:rPr>
          <w:rFonts w:cs="Times New Roman" w:ascii="Times New Roman" w:hAnsi="Times New Roman"/>
          <w:sz w:val="28"/>
          <w:szCs w:val="28"/>
          <w:u w:val="single"/>
        </w:rPr>
        <w:t>с «    »                по  «   »                            20    г</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sz w:val="28"/>
          <w:szCs w:val="28"/>
        </w:rPr>
        <w:t xml:space="preserve">Вид контроля:   __________________________    </w:t>
      </w:r>
    </w:p>
    <w:p>
      <w:pPr>
        <w:pStyle w:val="Normal"/>
        <w:rPr>
          <w:rFonts w:ascii="Times New Roman" w:hAnsi="Times New Roman" w:cs="Times New Roman"/>
          <w:b/>
          <w:b/>
          <w:sz w:val="28"/>
          <w:szCs w:val="28"/>
        </w:rPr>
      </w:pPr>
      <w:r>
        <w:rPr>
          <w:rFonts w:cs="Times New Roman" w:ascii="Times New Roman" w:hAnsi="Times New Roman"/>
          <w:b/>
          <w:sz w:val="28"/>
          <w:szCs w:val="28"/>
        </w:rPr>
        <w:t xml:space="preserve"> </w:t>
      </w:r>
      <w:r>
        <w:rPr>
          <w:rFonts w:cs="Times New Roman" w:ascii="Times New Roman" w:hAnsi="Times New Roman"/>
          <w:b/>
          <w:sz w:val="28"/>
          <w:szCs w:val="28"/>
        </w:rPr>
        <w:t>Результаты контроля</w:t>
      </w:r>
    </w:p>
    <w:p>
      <w:pPr>
        <w:pStyle w:val="Normal"/>
        <w:rPr>
          <w:rFonts w:ascii="Times New Roman" w:hAnsi="Times New Roman" w:cs="Times New Roman"/>
          <w:sz w:val="28"/>
          <w:szCs w:val="28"/>
        </w:rPr>
      </w:pPr>
      <w:r>
        <w:rPr>
          <w:rFonts w:cs="Times New Roman" w:ascii="Times New Roman" w:hAnsi="Times New Roman"/>
          <w:sz w:val="28"/>
          <w:szCs w:val="28"/>
        </w:rPr>
        <w:t xml:space="preserve">Контроль реализации программы начального общего образования осуществляется по следующим направлениям: </w:t>
      </w:r>
    </w:p>
    <w:p>
      <w:pPr>
        <w:pStyle w:val="Normal"/>
        <w:rPr>
          <w:rFonts w:ascii="Times New Roman" w:hAnsi="Times New Roman" w:cs="Times New Roman"/>
          <w:sz w:val="28"/>
          <w:szCs w:val="28"/>
        </w:rPr>
      </w:pPr>
      <w:r>
        <w:rPr>
          <w:rFonts w:cs="Times New Roman" w:ascii="Times New Roman" w:hAnsi="Times New Roman"/>
          <w:sz w:val="28"/>
          <w:szCs w:val="28"/>
        </w:rPr>
        <w:t xml:space="preserve">содержание программы (таблица 1), </w:t>
      </w:r>
    </w:p>
    <w:p>
      <w:pPr>
        <w:pStyle w:val="Normal"/>
        <w:rPr>
          <w:rFonts w:ascii="Times New Roman" w:hAnsi="Times New Roman" w:cs="Times New Roman"/>
          <w:sz w:val="28"/>
          <w:szCs w:val="28"/>
        </w:rPr>
      </w:pPr>
      <w:r>
        <w:rPr>
          <w:rFonts w:cs="Times New Roman" w:ascii="Times New Roman" w:hAnsi="Times New Roman"/>
          <w:sz w:val="28"/>
          <w:szCs w:val="28"/>
        </w:rPr>
        <w:t xml:space="preserve">выполнение программы (таблица 2). </w:t>
      </w:r>
    </w:p>
    <w:p>
      <w:pPr>
        <w:pStyle w:val="Normal"/>
        <w:jc w:val="right"/>
        <w:rPr>
          <w:rFonts w:ascii="Times New Roman" w:hAnsi="Times New Roman" w:cs="Times New Roman"/>
          <w:sz w:val="28"/>
          <w:szCs w:val="28"/>
        </w:rPr>
      </w:pPr>
      <w:r>
        <w:rPr>
          <w:rFonts w:cs="Times New Roman" w:ascii="Times New Roman" w:hAnsi="Times New Roman"/>
          <w:sz w:val="28"/>
          <w:szCs w:val="28"/>
        </w:rPr>
        <w:t xml:space="preserve">Таблица 1. </w:t>
      </w:r>
    </w:p>
    <w:p>
      <w:pPr>
        <w:pStyle w:val="Normal"/>
        <w:jc w:val="center"/>
        <w:rPr>
          <w:rFonts w:ascii="Times New Roman" w:hAnsi="Times New Roman" w:cs="Times New Roman"/>
          <w:b/>
          <w:b/>
          <w:sz w:val="28"/>
          <w:szCs w:val="28"/>
        </w:rPr>
      </w:pPr>
      <w:r>
        <w:rPr>
          <w:rFonts w:cs="Times New Roman" w:ascii="Times New Roman" w:hAnsi="Times New Roman"/>
          <w:b/>
          <w:sz w:val="28"/>
          <w:szCs w:val="28"/>
        </w:rPr>
        <w:t>Содержание программы</w:t>
      </w:r>
    </w:p>
    <w:tbl>
      <w:tblPr>
        <w:tblStyle w:val="a7"/>
        <w:tblW w:w="9571" w:type="dxa"/>
        <w:jc w:val="left"/>
        <w:tblInd w:w="0" w:type="dxa"/>
        <w:tblCellMar>
          <w:top w:w="0" w:type="dxa"/>
          <w:left w:w="108" w:type="dxa"/>
          <w:bottom w:w="0" w:type="dxa"/>
          <w:right w:w="108" w:type="dxa"/>
        </w:tblCellMar>
        <w:tblLook w:val="04a0"/>
      </w:tblPr>
      <w:tblGrid>
        <w:gridCol w:w="5778"/>
        <w:gridCol w:w="3792"/>
      </w:tblGrid>
      <w:tr>
        <w:trPr/>
        <w:tc>
          <w:tcPr>
            <w:tcW w:w="5778" w:type="dxa"/>
            <w:tcBorders/>
            <w:shd w:fill="auto" w:val="clea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Предмет контроля</w:t>
            </w:r>
          </w:p>
        </w:tc>
        <w:tc>
          <w:tcPr>
            <w:tcW w:w="3792" w:type="dxa"/>
            <w:tcBorders/>
            <w:shd w:fill="auto" w:val="clea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Результаты</w:t>
            </w:r>
          </w:p>
        </w:tc>
      </w:tr>
      <w:tr>
        <w:trPr/>
        <w:tc>
          <w:tcPr>
            <w:tcW w:w="5778"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sz w:val="24"/>
                <w:szCs w:val="24"/>
              </w:rPr>
              <w:t>Соответствие структуры программы_______ требованиям ФГОС (указывается уровень общего образования)</w:t>
            </w:r>
          </w:p>
        </w:tc>
        <w:tc>
          <w:tcPr>
            <w:tcW w:w="3792" w:type="dxa"/>
            <w:vMerge w:val="restart"/>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sz w:val="24"/>
                <w:szCs w:val="24"/>
              </w:rPr>
              <w:t>Соответствует / не соответствует /</w:t>
            </w:r>
          </w:p>
        </w:tc>
      </w:tr>
      <w:tr>
        <w:trPr/>
        <w:tc>
          <w:tcPr>
            <w:tcW w:w="5778"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sz w:val="24"/>
                <w:szCs w:val="24"/>
              </w:rPr>
              <w:t>Соответствие планируемых результатов требованиям ФГОС (указать уровень общего образования)</w:t>
            </w:r>
          </w:p>
        </w:tc>
        <w:tc>
          <w:tcPr>
            <w:tcW w:w="3792" w:type="dxa"/>
            <w:vMerge w:val="continue"/>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778"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sz w:val="24"/>
                <w:szCs w:val="24"/>
              </w:rPr>
              <w:t>Планируемые результаты программы распределены по годам освоения ООП (указать уровень общего образования)</w:t>
            </w:r>
          </w:p>
        </w:tc>
        <w:tc>
          <w:tcPr>
            <w:tcW w:w="3792" w:type="dxa"/>
            <w:vMerge w:val="restart"/>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sz w:val="24"/>
                <w:szCs w:val="24"/>
              </w:rPr>
              <w:t>Да/Нет</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5778"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sz w:val="24"/>
                <w:szCs w:val="24"/>
              </w:rPr>
              <w:t>Представлено содержание урочной и внеурочной деятельности по достижению учащимися планируемых результатов программы</w:t>
            </w:r>
          </w:p>
        </w:tc>
        <w:tc>
          <w:tcPr>
            <w:tcW w:w="3792" w:type="dxa"/>
            <w:vMerge w:val="continue"/>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5778"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sz w:val="24"/>
                <w:szCs w:val="24"/>
              </w:rPr>
              <w:t>Содержание урочной деятельности разработано с учетом специфики учебных предметов учебного плана ООП (указать уровень общего образования)</w:t>
            </w:r>
          </w:p>
        </w:tc>
        <w:tc>
          <w:tcPr>
            <w:tcW w:w="379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sz w:val="24"/>
                <w:szCs w:val="24"/>
              </w:rPr>
              <w:t>Да/Нет</w:t>
            </w:r>
          </w:p>
        </w:tc>
      </w:tr>
      <w:tr>
        <w:trPr/>
        <w:tc>
          <w:tcPr>
            <w:tcW w:w="5778"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sz w:val="24"/>
                <w:szCs w:val="24"/>
              </w:rPr>
              <w:t>Содержание урочной деятельности отражено в рабочих программах учебных предметов, где выделены закрепленные программой результаты</w:t>
            </w:r>
          </w:p>
        </w:tc>
        <w:tc>
          <w:tcPr>
            <w:tcW w:w="3792" w:type="dxa"/>
            <w:vMerge w:val="restart"/>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sz w:val="24"/>
                <w:szCs w:val="24"/>
              </w:rPr>
              <w:t>Да/Нет</w:t>
            </w:r>
          </w:p>
        </w:tc>
      </w:tr>
      <w:tr>
        <w:trPr/>
        <w:tc>
          <w:tcPr>
            <w:tcW w:w="5778"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sz w:val="24"/>
                <w:szCs w:val="24"/>
              </w:rPr>
              <w:t>Содержание внеурочной деятельности представлено в соответствии с планом внеурочной деятельности ООП (указать уровень общего образования)</w:t>
            </w:r>
          </w:p>
        </w:tc>
        <w:tc>
          <w:tcPr>
            <w:tcW w:w="3792" w:type="dxa"/>
            <w:vMerge w:val="continue"/>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577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Курсы и мероприятия внеурочной деятельности представлены с указанием на их планируемые эффекты</w:t>
            </w:r>
          </w:p>
        </w:tc>
        <w:tc>
          <w:tcPr>
            <w:tcW w:w="3792" w:type="dxa"/>
            <w:vMerge w:val="continue"/>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577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Представлены необходимые приложения к программе</w:t>
            </w:r>
          </w:p>
        </w:tc>
        <w:tc>
          <w:tcPr>
            <w:tcW w:w="3792" w:type="dxa"/>
            <w:vMerge w:val="restart"/>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sz w:val="24"/>
                <w:szCs w:val="24"/>
              </w:rPr>
              <w:t>Да/Нет</w:t>
            </w:r>
          </w:p>
        </w:tc>
      </w:tr>
      <w:tr>
        <w:trPr/>
        <w:tc>
          <w:tcPr>
            <w:tcW w:w="577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792" w:type="dxa"/>
            <w:vMerge w:val="continue"/>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77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 программе обозначена часть, сформированная участниками образовательных отношений</w:t>
            </w:r>
          </w:p>
        </w:tc>
        <w:tc>
          <w:tcPr>
            <w:tcW w:w="3792" w:type="dxa"/>
            <w:vMerge w:val="continue"/>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577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Часть программы, сформированная участниками образовательных отношений, подкреплена необходимыми документами</w:t>
            </w:r>
          </w:p>
        </w:tc>
        <w:tc>
          <w:tcPr>
            <w:tcW w:w="3792" w:type="dxa"/>
            <w:vMerge w:val="continue"/>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577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Оценочные материалы разработаны и приложены к программе</w:t>
            </w:r>
          </w:p>
        </w:tc>
        <w:tc>
          <w:tcPr>
            <w:tcW w:w="3792" w:type="dxa"/>
            <w:vMerge w:val="continue"/>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577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Оценочные материалы соответствуют планируемым результатам программы</w:t>
            </w:r>
          </w:p>
        </w:tc>
        <w:tc>
          <w:tcPr>
            <w:tcW w:w="379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sz w:val="24"/>
                <w:szCs w:val="24"/>
              </w:rPr>
              <w:t>Соответствует / не соответствует /</w:t>
            </w:r>
          </w:p>
        </w:tc>
      </w:tr>
      <w:tr>
        <w:trPr/>
        <w:tc>
          <w:tcPr>
            <w:tcW w:w="577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Организовано взаимодействие с организациями-партнерами; привлечены консультанты, эксперты, научные руководители</w:t>
            </w:r>
          </w:p>
        </w:tc>
        <w:tc>
          <w:tcPr>
            <w:tcW w:w="379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sz w:val="24"/>
                <w:szCs w:val="24"/>
              </w:rPr>
              <w:t>Да/Нет</w:t>
            </w:r>
          </w:p>
        </w:tc>
      </w:tr>
    </w:tbl>
    <w:p>
      <w:pPr>
        <w:pStyle w:val="Normal"/>
        <w:jc w:val="center"/>
        <w:rPr>
          <w:rFonts w:ascii="Times New Roman" w:hAnsi="Times New Roman" w:cs="Times New Roman"/>
          <w:b/>
          <w:b/>
          <w:sz w:val="28"/>
          <w:szCs w:val="28"/>
        </w:rPr>
      </w:pPr>
      <w:r>
        <w:rPr>
          <w:rFonts w:cs="Times New Roman" w:ascii="Times New Roman" w:hAnsi="Times New Roman"/>
          <w:b/>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 xml:space="preserve">Далее дается краткий анализ результатов предмета контроля, форма представления которого выбирается самостоятельно. </w:t>
      </w:r>
    </w:p>
    <w:p>
      <w:pPr>
        <w:pStyle w:val="Normal"/>
        <w:jc w:val="right"/>
        <w:rPr>
          <w:rFonts w:ascii="Times New Roman" w:hAnsi="Times New Roman" w:cs="Times New Roman"/>
          <w:sz w:val="28"/>
          <w:szCs w:val="28"/>
        </w:rPr>
      </w:pPr>
      <w:r>
        <w:rPr>
          <w:rFonts w:cs="Times New Roman" w:ascii="Times New Roman" w:hAnsi="Times New Roman"/>
          <w:sz w:val="28"/>
          <w:szCs w:val="28"/>
        </w:rPr>
        <w:t>Таблица 2.</w:t>
      </w:r>
    </w:p>
    <w:p>
      <w:pPr>
        <w:pStyle w:val="Normal"/>
        <w:jc w:val="center"/>
        <w:rPr>
          <w:rFonts w:ascii="Times New Roman" w:hAnsi="Times New Roman" w:cs="Times New Roman"/>
          <w:b/>
          <w:b/>
          <w:sz w:val="28"/>
          <w:szCs w:val="28"/>
        </w:rPr>
      </w:pPr>
      <w:r>
        <w:rPr>
          <w:rFonts w:cs="Times New Roman" w:ascii="Times New Roman" w:hAnsi="Times New Roman"/>
          <w:b/>
          <w:sz w:val="28"/>
          <w:szCs w:val="28"/>
        </w:rPr>
        <w:t>Выполнение программы</w:t>
      </w:r>
    </w:p>
    <w:tbl>
      <w:tblPr>
        <w:tblStyle w:val="a7"/>
        <w:tblW w:w="9571" w:type="dxa"/>
        <w:jc w:val="left"/>
        <w:tblInd w:w="0" w:type="dxa"/>
        <w:tblCellMar>
          <w:top w:w="0" w:type="dxa"/>
          <w:left w:w="108" w:type="dxa"/>
          <w:bottom w:w="0" w:type="dxa"/>
          <w:right w:w="108" w:type="dxa"/>
        </w:tblCellMar>
        <w:tblLook w:val="04a0"/>
      </w:tblPr>
      <w:tblGrid>
        <w:gridCol w:w="4785"/>
        <w:gridCol w:w="4785"/>
      </w:tblGrid>
      <w:tr>
        <w:trPr/>
        <w:tc>
          <w:tcPr>
            <w:tcW w:w="4785" w:type="dxa"/>
            <w:tcBorders/>
            <w:shd w:fill="auto" w:val="clea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Предмет контроля</w:t>
            </w:r>
          </w:p>
        </w:tc>
        <w:tc>
          <w:tcPr>
            <w:tcW w:w="4785" w:type="dxa"/>
            <w:tcBorders/>
            <w:shd w:fill="auto" w:val="clea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Результаты</w:t>
            </w:r>
          </w:p>
        </w:tc>
      </w:tr>
      <w:tr>
        <w:trPr/>
        <w:tc>
          <w:tcPr>
            <w:tcW w:w="4785"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sz w:val="24"/>
                <w:szCs w:val="24"/>
              </w:rPr>
              <w:t>Учебные занятия, выделенные в рабочих программах, проведены</w:t>
            </w:r>
          </w:p>
        </w:tc>
        <w:tc>
          <w:tcPr>
            <w:tcW w:w="4785"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sz w:val="24"/>
                <w:szCs w:val="24"/>
              </w:rPr>
              <w:t>Да / Нет</w:t>
            </w:r>
          </w:p>
        </w:tc>
      </w:tr>
      <w:tr>
        <w:trPr/>
        <w:tc>
          <w:tcPr>
            <w:tcW w:w="4785"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sz w:val="24"/>
                <w:szCs w:val="24"/>
              </w:rPr>
              <w:t>Регулярные курсы внеурочной деятельности, внесенные в программу, проведены в объеме, запланированном рабочей программой курса</w:t>
            </w:r>
          </w:p>
        </w:tc>
        <w:tc>
          <w:tcPr>
            <w:tcW w:w="4785"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sz w:val="24"/>
                <w:szCs w:val="24"/>
              </w:rPr>
              <w:t>Да / Нет</w:t>
            </w:r>
          </w:p>
        </w:tc>
      </w:tr>
      <w:tr>
        <w:trPr/>
        <w:tc>
          <w:tcPr>
            <w:tcW w:w="4785"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sz w:val="24"/>
                <w:szCs w:val="24"/>
              </w:rPr>
              <w:t>Мероприятия внеурочной деятельности, внесенные в программу, проведены</w:t>
            </w:r>
          </w:p>
        </w:tc>
        <w:tc>
          <w:tcPr>
            <w:tcW w:w="4785"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sz w:val="24"/>
                <w:szCs w:val="24"/>
              </w:rPr>
              <w:t>Да / Нет</w:t>
            </w:r>
          </w:p>
        </w:tc>
      </w:tr>
    </w:tbl>
    <w:p>
      <w:pPr>
        <w:pStyle w:val="Normal"/>
        <w:jc w:val="center"/>
        <w:rPr>
          <w:rFonts w:ascii="Times New Roman" w:hAnsi="Times New Roman" w:cs="Times New Roman"/>
          <w:b/>
          <w:b/>
          <w:sz w:val="28"/>
          <w:szCs w:val="28"/>
        </w:rPr>
      </w:pPr>
      <w:r>
        <w:rPr>
          <w:rFonts w:cs="Times New Roman" w:ascii="Times New Roman" w:hAnsi="Times New Roman"/>
          <w:b/>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Далее дается краткий анализ результатов предмета контроля, форма представления которого выбирается самостоятельно. </w:t>
      </w:r>
    </w:p>
    <w:p>
      <w:pPr>
        <w:pStyle w:val="Normal"/>
        <w:rPr>
          <w:rFonts w:ascii="Times New Roman" w:hAnsi="Times New Roman" w:cs="Times New Roman"/>
          <w:b/>
          <w:b/>
          <w:sz w:val="28"/>
          <w:szCs w:val="28"/>
        </w:rPr>
      </w:pPr>
      <w:r>
        <w:rPr>
          <w:rFonts w:cs="Times New Roman" w:ascii="Times New Roman" w:hAnsi="Times New Roman"/>
          <w:b/>
          <w:sz w:val="28"/>
          <w:szCs w:val="28"/>
        </w:rPr>
        <w:t>Выводы:</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1. Положительные эффекты: (перечислить с комментарием обуславливающих факторов: материальные условия, кадры и проч.). </w:t>
      </w:r>
    </w:p>
    <w:p>
      <w:pPr>
        <w:pStyle w:val="Normal"/>
        <w:rPr>
          <w:rFonts w:ascii="Times New Roman" w:hAnsi="Times New Roman" w:cs="Times New Roman"/>
          <w:sz w:val="28"/>
          <w:szCs w:val="28"/>
        </w:rPr>
      </w:pPr>
      <w:r>
        <w:rPr>
          <w:rFonts w:cs="Times New Roman" w:ascii="Times New Roman" w:hAnsi="Times New Roman"/>
          <w:sz w:val="28"/>
          <w:szCs w:val="28"/>
        </w:rPr>
        <w:t>2. Недостатки в содержании программы: (перечислить с комментарием причин и возможности их устранения).</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3. Факты невыполнения программы: (перечислить с комментарием причин и возможности их выполнения). </w:t>
      </w:r>
    </w:p>
    <w:p>
      <w:pPr>
        <w:pStyle w:val="Normal"/>
        <w:rPr>
          <w:rFonts w:ascii="Times New Roman" w:hAnsi="Times New Roman" w:cs="Times New Roman"/>
          <w:sz w:val="28"/>
          <w:szCs w:val="28"/>
        </w:rPr>
      </w:pPr>
      <w:r>
        <w:rPr>
          <w:rFonts w:cs="Times New Roman" w:ascii="Times New Roman" w:hAnsi="Times New Roman"/>
          <w:b/>
          <w:sz w:val="28"/>
          <w:szCs w:val="28"/>
        </w:rPr>
        <w:t>Рекомендации (мероприятия) по итогам контроля:</w:t>
      </w:r>
      <w:r>
        <w:rPr>
          <w:rFonts w:cs="Times New Roman" w:ascii="Times New Roman" w:hAnsi="Times New Roman"/>
          <w:sz w:val="28"/>
          <w:szCs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 </w:t>
      </w:r>
    </w:p>
    <w:p>
      <w:pPr>
        <w:pStyle w:val="Normal"/>
        <w:rPr>
          <w:rFonts w:ascii="Times New Roman" w:hAnsi="Times New Roman" w:cs="Times New Roman"/>
          <w:sz w:val="28"/>
          <w:szCs w:val="28"/>
        </w:rPr>
      </w:pPr>
      <w:r>
        <w:rPr>
          <w:rFonts w:cs="Times New Roman" w:ascii="Times New Roman" w:hAnsi="Times New Roman"/>
          <w:sz w:val="28"/>
          <w:szCs w:val="28"/>
        </w:rPr>
        <w:t xml:space="preserve">Справка подготовлена: (Ф.И.О., должность, подпись) </w:t>
      </w:r>
    </w:p>
    <w:p>
      <w:pPr>
        <w:pStyle w:val="Normal"/>
        <w:rPr>
          <w:rFonts w:ascii="Times New Roman" w:hAnsi="Times New Roman" w:cs="Times New Roman"/>
          <w:sz w:val="28"/>
          <w:szCs w:val="28"/>
        </w:rPr>
      </w:pPr>
      <w:r>
        <w:rPr>
          <w:rFonts w:cs="Times New Roman" w:ascii="Times New Roman" w:hAnsi="Times New Roman"/>
          <w:sz w:val="28"/>
          <w:szCs w:val="28"/>
        </w:rPr>
        <w:t>Со справкой ознакомлен(ы): (Ф.И.О., должность, подпись)</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Дата: « »____________ 20___ г.</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jc w:val="right"/>
        <w:rPr>
          <w:rFonts w:ascii="Times New Roman" w:hAnsi="Times New Roman" w:cs="Times New Roman"/>
          <w:sz w:val="28"/>
          <w:szCs w:val="28"/>
        </w:rPr>
      </w:pPr>
      <w:r>
        <w:rPr>
          <w:rFonts w:cs="Times New Roman" w:ascii="Times New Roman" w:hAnsi="Times New Roman"/>
          <w:sz w:val="28"/>
          <w:szCs w:val="28"/>
        </w:rPr>
      </w:r>
    </w:p>
    <w:p>
      <w:pPr>
        <w:pStyle w:val="Normal"/>
        <w:jc w:val="right"/>
        <w:rPr>
          <w:rFonts w:ascii="Times New Roman" w:hAnsi="Times New Roman" w:cs="Times New Roman"/>
          <w:sz w:val="28"/>
          <w:szCs w:val="28"/>
        </w:rPr>
      </w:pPr>
      <w:r>
        <w:rPr>
          <w:rFonts w:cs="Times New Roman" w:ascii="Times New Roman" w:hAnsi="Times New Roman"/>
          <w:sz w:val="28"/>
          <w:szCs w:val="28"/>
        </w:rPr>
      </w:r>
    </w:p>
    <w:p>
      <w:pPr>
        <w:pStyle w:val="Normal"/>
        <w:jc w:val="right"/>
        <w:rPr>
          <w:rFonts w:ascii="Times New Roman" w:hAnsi="Times New Roman" w:cs="Times New Roman"/>
          <w:sz w:val="24"/>
          <w:szCs w:val="24"/>
        </w:rPr>
      </w:pPr>
      <w:r>
        <w:rPr>
          <w:rFonts w:cs="Times New Roman" w:ascii="Times New Roman" w:hAnsi="Times New Roman"/>
          <w:sz w:val="24"/>
          <w:szCs w:val="24"/>
        </w:rPr>
      </w:r>
    </w:p>
    <w:p>
      <w:pPr>
        <w:pStyle w:val="Normal"/>
        <w:jc w:val="right"/>
        <w:rPr>
          <w:rFonts w:ascii="Times New Roman" w:hAnsi="Times New Roman" w:cs="Times New Roman"/>
          <w:sz w:val="24"/>
          <w:szCs w:val="24"/>
        </w:rPr>
      </w:pPr>
      <w:r>
        <w:rPr>
          <w:rFonts w:cs="Times New Roman" w:ascii="Times New Roman" w:hAnsi="Times New Roman"/>
          <w:sz w:val="24"/>
          <w:szCs w:val="24"/>
        </w:rPr>
      </w:r>
    </w:p>
    <w:p>
      <w:pPr>
        <w:pStyle w:val="Normal"/>
        <w:jc w:val="right"/>
        <w:rPr>
          <w:rFonts w:ascii="Times New Roman" w:hAnsi="Times New Roman" w:cs="Times New Roman"/>
          <w:sz w:val="24"/>
          <w:szCs w:val="24"/>
        </w:rPr>
      </w:pPr>
      <w:r>
        <w:rPr>
          <w:rFonts w:cs="Times New Roman" w:ascii="Times New Roman" w:hAnsi="Times New Roman"/>
          <w:sz w:val="24"/>
          <w:szCs w:val="24"/>
        </w:rPr>
      </w:r>
    </w:p>
    <w:p>
      <w:pPr>
        <w:pStyle w:val="Normal"/>
        <w:jc w:val="right"/>
        <w:rPr>
          <w:rFonts w:ascii="Times New Roman" w:hAnsi="Times New Roman" w:cs="Times New Roman"/>
          <w:sz w:val="24"/>
          <w:szCs w:val="24"/>
        </w:rPr>
      </w:pPr>
      <w:r>
        <w:rPr>
          <w:rFonts w:cs="Times New Roman" w:ascii="Times New Roman" w:hAnsi="Times New Roman"/>
          <w:sz w:val="24"/>
          <w:szCs w:val="24"/>
        </w:rPr>
      </w:r>
    </w:p>
    <w:p>
      <w:pPr>
        <w:pStyle w:val="Normal"/>
        <w:jc w:val="right"/>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Приложение 3</w:t>
      </w:r>
    </w:p>
    <w:p>
      <w:pPr>
        <w:pStyle w:val="Normal"/>
        <w:jc w:val="center"/>
        <w:rPr>
          <w:rFonts w:ascii="Times New Roman" w:hAnsi="Times New Roman" w:cs="Times New Roman"/>
          <w:b/>
          <w:b/>
          <w:sz w:val="24"/>
          <w:szCs w:val="24"/>
        </w:rPr>
      </w:pPr>
      <w:r>
        <w:rPr>
          <w:rFonts w:cs="Times New Roman" w:ascii="Times New Roman" w:hAnsi="Times New Roman"/>
          <w:b/>
          <w:sz w:val="24"/>
          <w:szCs w:val="24"/>
        </w:rPr>
        <w:t>Структура отчета о самообследовании</w:t>
      </w:r>
    </w:p>
    <w:tbl>
      <w:tblPr>
        <w:tblStyle w:val="a7"/>
        <w:tblW w:w="9571" w:type="dxa"/>
        <w:jc w:val="left"/>
        <w:tblInd w:w="0" w:type="dxa"/>
        <w:tblCellMar>
          <w:top w:w="0" w:type="dxa"/>
          <w:left w:w="108" w:type="dxa"/>
          <w:bottom w:w="0" w:type="dxa"/>
          <w:right w:w="108" w:type="dxa"/>
        </w:tblCellMar>
        <w:tblLook w:val="04a0"/>
      </w:tblPr>
      <w:tblGrid>
        <w:gridCol w:w="4785"/>
        <w:gridCol w:w="4785"/>
      </w:tblGrid>
      <w:tr>
        <w:trPr/>
        <w:tc>
          <w:tcPr>
            <w:tcW w:w="4785"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Название</w:t>
            </w:r>
          </w:p>
        </w:tc>
        <w:tc>
          <w:tcPr>
            <w:tcW w:w="4785"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Содержание</w:t>
            </w:r>
          </w:p>
        </w:tc>
      </w:tr>
      <w:tr>
        <w:trPr/>
        <w:tc>
          <w:tcPr>
            <w:tcW w:w="4785"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sz w:val="24"/>
                <w:szCs w:val="24"/>
              </w:rPr>
              <w:t>Общая характеристика образовательной деятельности ОО</w:t>
            </w:r>
          </w:p>
        </w:tc>
        <w:tc>
          <w:tcPr>
            <w:tcW w:w="4785"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sz w:val="24"/>
                <w:szCs w:val="24"/>
              </w:rPr>
              <w:t>Полное наименование и контактная информация ОО в соответствии со сведениями в ее уставе. Наличие лицензии на осуществление образовательной деятельности с указанием всех адресов и видов реализуемых образовательных программ. Взаимодействие с организациями-партнерами, органами исполнительной власти. Инновационная деятельность (при наличии).</w:t>
            </w:r>
          </w:p>
        </w:tc>
      </w:tr>
      <w:tr>
        <w:trPr/>
        <w:tc>
          <w:tcPr>
            <w:tcW w:w="4785"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sz w:val="24"/>
                <w:szCs w:val="24"/>
              </w:rPr>
              <w:t>Система управления ОО</w:t>
            </w:r>
          </w:p>
        </w:tc>
        <w:tc>
          <w:tcPr>
            <w:tcW w:w="4785"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sz w:val="24"/>
                <w:szCs w:val="24"/>
              </w:rPr>
              <w:t>Структура управления, включая органы коллегиального и государственно-общественного управления. Взаимосвязи органов управления</w:t>
            </w:r>
          </w:p>
        </w:tc>
      </w:tr>
      <w:tr>
        <w:trPr/>
        <w:tc>
          <w:tcPr>
            <w:tcW w:w="4785"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sz w:val="24"/>
                <w:szCs w:val="24"/>
              </w:rPr>
              <w:t>Содержание подготовки обучающихся</w:t>
            </w:r>
          </w:p>
        </w:tc>
        <w:tc>
          <w:tcPr>
            <w:tcW w:w="4785"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Виды реализуемых ООП.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Численность обучающихся, осваивающих ООП по уровням общего образования: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начального общего образования; Количество индивидуальных учебных планов по разным категориям обучающихся.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Направленности дополнительных общеразвивающих программ.</w:t>
            </w:r>
          </w:p>
          <w:p>
            <w:pPr>
              <w:pStyle w:val="Normal"/>
              <w:spacing w:lineRule="auto" w:line="240" w:before="0" w:after="0"/>
              <w:rPr>
                <w:rFonts w:ascii="Times New Roman" w:hAnsi="Times New Roman" w:cs="Times New Roman"/>
                <w:b/>
                <w:b/>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Количество обучающихся в объединениях дополнительного образования по каждой направленности.</w:t>
            </w:r>
          </w:p>
        </w:tc>
      </w:tr>
      <w:tr>
        <w:trPr/>
        <w:tc>
          <w:tcPr>
            <w:tcW w:w="4785"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sz w:val="24"/>
                <w:szCs w:val="24"/>
              </w:rPr>
              <w:t>Качество подготовки обучающихся</w:t>
            </w:r>
          </w:p>
        </w:tc>
        <w:tc>
          <w:tcPr>
            <w:tcW w:w="4785"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Успеваемость (отсутствие или наличие неудовлетворительных оценок в процентах) и качество знаний (количество оценок «хорошо» и «отлично» в процентах, количество успевающих только на указанные оценки в процентах).</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Количество призеров Всероссийской олимпиады школьников (по уровням общего образования). </w:t>
            </w:r>
          </w:p>
          <w:p>
            <w:pPr>
              <w:pStyle w:val="Normal"/>
              <w:spacing w:lineRule="auto" w:line="240" w:before="0" w:after="0"/>
              <w:rPr>
                <w:rFonts w:ascii="Times New Roman" w:hAnsi="Times New Roman" w:cs="Times New Roman"/>
                <w:b/>
                <w:b/>
                <w:sz w:val="24"/>
                <w:szCs w:val="24"/>
              </w:rPr>
            </w:pPr>
            <w:r>
              <w:rPr>
                <w:rFonts w:cs="Times New Roman" w:ascii="Times New Roman" w:hAnsi="Times New Roman"/>
                <w:sz w:val="24"/>
                <w:szCs w:val="24"/>
              </w:rPr>
              <w:t>Другие показатели качества подготовки обучающихся</w:t>
            </w:r>
          </w:p>
        </w:tc>
      </w:tr>
      <w:tr>
        <w:trPr/>
        <w:tc>
          <w:tcPr>
            <w:tcW w:w="4785"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sz w:val="24"/>
                <w:szCs w:val="24"/>
              </w:rPr>
              <w:t>Особенности организации учебного процесса</w:t>
            </w:r>
          </w:p>
        </w:tc>
        <w:tc>
          <w:tcPr>
            <w:tcW w:w="4785"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Количество классов.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Режим образовательной деятельности. Продолжительность учебного года и каникул. Количество обучающихся, получающих образование: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в очно</w:t>
            </w:r>
          </w:p>
          <w:p>
            <w:pPr>
              <w:pStyle w:val="ListParagraph"/>
              <w:numPr>
                <w:ilvl w:val="0"/>
                <w:numId w:val="1"/>
              </w:numPr>
              <w:spacing w:lineRule="auto" w:line="240" w:before="0" w:after="0"/>
              <w:contextualSpacing/>
              <w:rPr>
                <w:rFonts w:ascii="Times New Roman" w:hAnsi="Times New Roman" w:cs="Times New Roman"/>
                <w:sz w:val="24"/>
                <w:szCs w:val="24"/>
              </w:rPr>
            </w:pPr>
            <w:r>
              <w:rPr>
                <w:rFonts w:cs="Times New Roman" w:ascii="Times New Roman" w:hAnsi="Times New Roman"/>
                <w:sz w:val="24"/>
                <w:szCs w:val="24"/>
              </w:rPr>
              <w:t xml:space="preserve">очно -заочной форме;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заочной форме.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Соответствие режима учебной деятельности санитарногигиеническим требованиям. Наличие ООП того или иного уровня, реализуемых в сетевой форме.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Количество обучающихся, осваивающих ООП: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с применением дистанционных технологий; </w:t>
            </w:r>
          </w:p>
          <w:p>
            <w:pPr>
              <w:pStyle w:val="Normal"/>
              <w:spacing w:lineRule="auto" w:line="240" w:before="0" w:after="0"/>
              <w:rPr>
                <w:rFonts w:ascii="Times New Roman" w:hAnsi="Times New Roman" w:cs="Times New Roman"/>
                <w:b/>
                <w:b/>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с применением электронных средств обучения</w:t>
            </w:r>
          </w:p>
        </w:tc>
      </w:tr>
      <w:tr>
        <w:trPr/>
        <w:tc>
          <w:tcPr>
            <w:tcW w:w="4785"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sz w:val="24"/>
                <w:szCs w:val="24"/>
              </w:rPr>
              <w:t>Кадровое обеспечение образовательного процесса</w:t>
            </w:r>
          </w:p>
        </w:tc>
        <w:tc>
          <w:tcPr>
            <w:tcW w:w="4785"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Доля педагогических работников с высшим образованием.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Доля педагогических работников, имеющих высшую квалификационную категорию, первую квалификационную категорию, соответствие занимаемой должности. Группы педагогических работников по стажу работы.</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Возрастной состав педагогических работников. </w:t>
            </w:r>
          </w:p>
          <w:p>
            <w:pPr>
              <w:pStyle w:val="Normal"/>
              <w:spacing w:lineRule="auto" w:line="240" w:before="0" w:after="0"/>
              <w:rPr>
                <w:rFonts w:ascii="Times New Roman" w:hAnsi="Times New Roman" w:cs="Times New Roman"/>
                <w:b/>
                <w:b/>
                <w:sz w:val="24"/>
                <w:szCs w:val="24"/>
              </w:rPr>
            </w:pPr>
            <w:r>
              <w:rPr>
                <w:rFonts w:cs="Times New Roman" w:ascii="Times New Roman" w:hAnsi="Times New Roman"/>
                <w:sz w:val="24"/>
                <w:szCs w:val="24"/>
              </w:rPr>
              <w:t>Сведения о повышении квалификации педагогических работников. Обеспеченность ОО педагогическими кадрами (педагог-психолог, социальный педагог, учитель-дефектолог, учитель-логопед, педагог дополнительного образования и пр.)</w:t>
            </w:r>
          </w:p>
        </w:tc>
      </w:tr>
      <w:tr>
        <w:trPr/>
        <w:tc>
          <w:tcPr>
            <w:tcW w:w="4785"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sz w:val="24"/>
                <w:szCs w:val="24"/>
              </w:rPr>
              <w:t>Учебно-методическое обеспечение образовательного процесса</w:t>
            </w:r>
          </w:p>
        </w:tc>
        <w:tc>
          <w:tcPr>
            <w:tcW w:w="4785"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Соответствие используемых учебников федеральному перечню.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Общее количество учебных и учебно-методических пособий, используемых в образовательном процессе. </w:t>
            </w:r>
          </w:p>
          <w:p>
            <w:pPr>
              <w:pStyle w:val="Normal"/>
              <w:spacing w:lineRule="auto" w:line="240" w:before="0" w:after="0"/>
              <w:rPr>
                <w:rFonts w:ascii="Times New Roman" w:hAnsi="Times New Roman" w:cs="Times New Roman"/>
                <w:b/>
                <w:b/>
                <w:sz w:val="24"/>
                <w:szCs w:val="24"/>
              </w:rPr>
            </w:pPr>
            <w:r>
              <w:rPr>
                <w:rFonts w:cs="Times New Roman" w:ascii="Times New Roman" w:hAnsi="Times New Roman"/>
                <w:sz w:val="24"/>
                <w:szCs w:val="24"/>
              </w:rPr>
              <w:t>Количество экземпляров учебной и учебно-методической литературы в расчете на одного учащегося</w:t>
            </w:r>
          </w:p>
        </w:tc>
      </w:tr>
      <w:tr>
        <w:trPr/>
        <w:tc>
          <w:tcPr>
            <w:tcW w:w="4785"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sz w:val="24"/>
                <w:szCs w:val="24"/>
              </w:rPr>
              <w:t>Библиотечноинформационное обеспечение образовательного процесса</w:t>
            </w:r>
          </w:p>
        </w:tc>
        <w:tc>
          <w:tcPr>
            <w:tcW w:w="4785"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sz w:val="24"/>
                <w:szCs w:val="24"/>
              </w:rPr>
              <w:t>положение о ВСОКО</w:t>
            </w:r>
          </w:p>
        </w:tc>
      </w:tr>
      <w:tr>
        <w:trPr/>
        <w:tc>
          <w:tcPr>
            <w:tcW w:w="4785"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Материально-техническая база</w:t>
            </w:r>
          </w:p>
        </w:tc>
        <w:tc>
          <w:tcPr>
            <w:tcW w:w="4785"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sz w:val="24"/>
                <w:szCs w:val="24"/>
              </w:rPr>
              <w:t>положение о ВСОКО</w:t>
            </w:r>
          </w:p>
        </w:tc>
      </w:tr>
      <w:tr>
        <w:trPr/>
        <w:tc>
          <w:tcPr>
            <w:tcW w:w="4785"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Функционирование ВСОКО</w:t>
            </w:r>
          </w:p>
        </w:tc>
        <w:tc>
          <w:tcPr>
            <w:tcW w:w="4785"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sz w:val="24"/>
                <w:szCs w:val="24"/>
              </w:rPr>
              <w:t>положение о ВСОКО</w:t>
            </w:r>
          </w:p>
        </w:tc>
      </w:tr>
      <w:tr>
        <w:trPr/>
        <w:tc>
          <w:tcPr>
            <w:tcW w:w="4785"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Анализ показателей деятельности ОО, подлежащей самообследованию</w:t>
            </w:r>
          </w:p>
        </w:tc>
        <w:tc>
          <w:tcPr>
            <w:tcW w:w="4785"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Аналитическая текстовая часть, содержащая качественную оценку показателей, включая их сравнение с показателями предыдущего года / нескольких лет.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Констатация точек роста и управленческих решений, которые их обеспечили. Объяснение причин отрицательной динамики по отдельным показателям (при ее наличии). </w:t>
            </w:r>
          </w:p>
          <w:p>
            <w:pPr>
              <w:pStyle w:val="Normal"/>
              <w:spacing w:lineRule="auto" w:line="240" w:before="0" w:after="0"/>
              <w:rPr>
                <w:rFonts w:ascii="Times New Roman" w:hAnsi="Times New Roman" w:cs="Times New Roman"/>
                <w:b/>
                <w:b/>
                <w:sz w:val="24"/>
                <w:szCs w:val="24"/>
              </w:rPr>
            </w:pPr>
            <w:r>
              <w:rPr>
                <w:rFonts w:cs="Times New Roman" w:ascii="Times New Roman" w:hAnsi="Times New Roman"/>
                <w:sz w:val="24"/>
                <w:szCs w:val="24"/>
              </w:rPr>
              <w:t>Общий вывод о результатах самообследования.</w:t>
            </w:r>
          </w:p>
        </w:tc>
      </w:tr>
    </w:tbl>
    <w:p>
      <w:pPr>
        <w:pStyle w:val="Normal"/>
        <w:jc w:val="center"/>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jc w:val="right"/>
        <w:rPr>
          <w:rFonts w:ascii="Times New Roman" w:hAnsi="Times New Roman" w:cs="Times New Roman"/>
          <w:b/>
          <w:b/>
          <w:sz w:val="24"/>
          <w:szCs w:val="24"/>
        </w:rPr>
      </w:pPr>
      <w:r>
        <w:rPr>
          <w:rFonts w:cs="Times New Roman" w:ascii="Times New Roman" w:hAnsi="Times New Roman"/>
          <w:b/>
          <w:sz w:val="24"/>
          <w:szCs w:val="24"/>
        </w:rPr>
      </w:r>
    </w:p>
    <w:p>
      <w:pPr>
        <w:pStyle w:val="Normal"/>
        <w:jc w:val="right"/>
        <w:rPr>
          <w:rFonts w:ascii="Times New Roman" w:hAnsi="Times New Roman" w:cs="Times New Roman"/>
          <w:b/>
          <w:b/>
          <w:sz w:val="24"/>
          <w:szCs w:val="24"/>
        </w:rPr>
      </w:pPr>
      <w:r>
        <w:rPr>
          <w:rFonts w:cs="Times New Roman" w:ascii="Times New Roman" w:hAnsi="Times New Roman"/>
          <w:b/>
          <w:sz w:val="24"/>
          <w:szCs w:val="24"/>
        </w:rPr>
        <w:t xml:space="preserve">Приложение 4 </w:t>
      </w:r>
    </w:p>
    <w:p>
      <w:pPr>
        <w:pStyle w:val="Normal"/>
        <w:jc w:val="center"/>
        <w:rPr>
          <w:rFonts w:ascii="Times New Roman" w:hAnsi="Times New Roman" w:cs="Times New Roman"/>
          <w:b/>
          <w:b/>
          <w:sz w:val="24"/>
          <w:szCs w:val="24"/>
        </w:rPr>
      </w:pPr>
      <w:r>
        <w:rPr>
          <w:rFonts w:cs="Times New Roman" w:ascii="Times New Roman" w:hAnsi="Times New Roman"/>
          <w:b/>
          <w:sz w:val="24"/>
          <w:szCs w:val="24"/>
        </w:rPr>
        <w:t>Критерии оценки условий реализации образовательных программ</w:t>
      </w:r>
    </w:p>
    <w:tbl>
      <w:tblPr>
        <w:tblStyle w:val="a7"/>
        <w:tblW w:w="9571" w:type="dxa"/>
        <w:jc w:val="left"/>
        <w:tblInd w:w="0" w:type="dxa"/>
        <w:tblCellMar>
          <w:top w:w="0" w:type="dxa"/>
          <w:left w:w="108" w:type="dxa"/>
          <w:bottom w:w="0" w:type="dxa"/>
          <w:right w:w="108" w:type="dxa"/>
        </w:tblCellMar>
        <w:tblLook w:val="04a0"/>
      </w:tblPr>
      <w:tblGrid>
        <w:gridCol w:w="1242"/>
        <w:gridCol w:w="3356"/>
        <w:gridCol w:w="1091"/>
        <w:gridCol w:w="1298"/>
        <w:gridCol w:w="1371"/>
        <w:gridCol w:w="1212"/>
      </w:tblGrid>
      <w:tr>
        <w:trPr>
          <w:trHeight w:val="501" w:hRule="atLeast"/>
        </w:trPr>
        <w:tc>
          <w:tcPr>
            <w:tcW w:w="1242" w:type="dxa"/>
            <w:vMerge w:val="restart"/>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Группа условий</w:t>
            </w:r>
          </w:p>
        </w:tc>
        <w:tc>
          <w:tcPr>
            <w:tcW w:w="3356" w:type="dxa"/>
            <w:vMerge w:val="restart"/>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Критерии оценки</w:t>
            </w:r>
          </w:p>
        </w:tc>
        <w:tc>
          <w:tcPr>
            <w:tcW w:w="1091" w:type="dxa"/>
            <w:vMerge w:val="restart"/>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Единица измерений</w:t>
            </w:r>
          </w:p>
        </w:tc>
        <w:tc>
          <w:tcPr>
            <w:tcW w:w="3881" w:type="dxa"/>
            <w:gridSpan w:val="3"/>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Контроль состояния условий</w:t>
            </w:r>
          </w:p>
        </w:tc>
      </w:tr>
      <w:tr>
        <w:trPr>
          <w:trHeight w:val="501" w:hRule="atLeast"/>
        </w:trPr>
        <w:tc>
          <w:tcPr>
            <w:tcW w:w="1242" w:type="dxa"/>
            <w:vMerge w:val="continue"/>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3356" w:type="dxa"/>
            <w:vMerge w:val="continue"/>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091" w:type="dxa"/>
            <w:vMerge w:val="continue"/>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Фактический показатель на старте</w:t>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Планируемый показатель</w:t>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Факт выполнения «дорожной карты»</w:t>
            </w:r>
          </w:p>
        </w:tc>
      </w:tr>
      <w:tr>
        <w:trPr/>
        <w:tc>
          <w:tcPr>
            <w:tcW w:w="124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Численность / удельный вес численности педагогических работников: </w:t>
            </w:r>
          </w:p>
          <w:p>
            <w:pPr>
              <w:pStyle w:val="Normal"/>
              <w:spacing w:lineRule="auto" w:line="240" w:before="0" w:after="0"/>
              <w:rPr>
                <w:rFonts w:ascii="Times New Roman" w:hAnsi="Times New Roman" w:cs="Times New Roman"/>
                <w:b/>
                <w:b/>
                <w:sz w:val="24"/>
                <w:szCs w:val="24"/>
              </w:rPr>
            </w:pPr>
            <w:r>
              <w:rPr>
                <w:rFonts w:cs="Times New Roman" w:ascii="Times New Roman" w:hAnsi="Times New Roman"/>
                <w:sz w:val="24"/>
                <w:szCs w:val="24"/>
              </w:rPr>
              <w:t>-</w:t>
            </w:r>
            <w:bookmarkStart w:id="0" w:name="_GoBack"/>
            <w:bookmarkEnd w:id="0"/>
            <w:r>
              <w:rPr>
                <w:rFonts w:cs="Times New Roman" w:ascii="Times New Roman" w:hAnsi="Times New Roman"/>
                <w:sz w:val="24"/>
                <w:szCs w:val="24"/>
              </w:rPr>
              <w:t>имеющих высшее образование, в общей численности педагогических работников (всего по ОО и по уровням общего образования)</w:t>
            </w:r>
          </w:p>
        </w:tc>
        <w:tc>
          <w:tcPr>
            <w:tcW w:w="109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sz w:val="24"/>
                <w:szCs w:val="24"/>
              </w:rPr>
              <w:t>Чел.  %</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sz w:val="24"/>
                <w:szCs w:val="24"/>
              </w:rPr>
              <w:t>имеющих высшее образование педагогической направленности (профиля, направления подготовки), в общей численности педагогических работников</w:t>
            </w:r>
          </w:p>
        </w:tc>
        <w:tc>
          <w:tcPr>
            <w:tcW w:w="109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sz w:val="24"/>
                <w:szCs w:val="24"/>
              </w:rPr>
              <w:t>Чел. / %</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которым по результатам аттестации присвоена квалификационная категория в общей численности педагогических работников, в том числе:</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eastAsia="Symbol" w:cs="Symbol" w:ascii="Symbol" w:hAnsi="Symbol"/>
                <w:sz w:val="24"/>
                <w:szCs w:val="24"/>
              </w:rPr>
              <w:t></w:t>
            </w:r>
            <w:r>
              <w:rPr>
                <w:rFonts w:cs="Times New Roman" w:ascii="Times New Roman" w:hAnsi="Times New Roman"/>
                <w:sz w:val="24"/>
                <w:szCs w:val="24"/>
              </w:rPr>
              <w:t xml:space="preserve">первая; </w:t>
            </w:r>
          </w:p>
          <w:p>
            <w:pPr>
              <w:pStyle w:val="Normal"/>
              <w:spacing w:lineRule="auto" w:line="240" w:before="0" w:after="0"/>
              <w:rPr>
                <w:rFonts w:ascii="Times New Roman" w:hAnsi="Times New Roman" w:cs="Times New Roman"/>
                <w:b/>
                <w:b/>
                <w:sz w:val="24"/>
                <w:szCs w:val="24"/>
              </w:rPr>
            </w:pPr>
            <w:r>
              <w:rPr>
                <w:rFonts w:eastAsia="Symbol" w:cs="Symbol" w:ascii="Symbol" w:hAnsi="Symbol"/>
                <w:sz w:val="24"/>
                <w:szCs w:val="24"/>
              </w:rPr>
              <w:t></w:t>
            </w:r>
            <w:r>
              <w:rPr>
                <w:rFonts w:cs="Times New Roman" w:ascii="Times New Roman" w:hAnsi="Times New Roman"/>
                <w:sz w:val="24"/>
                <w:szCs w:val="24"/>
              </w:rPr>
              <w:t>высшая</w:t>
            </w:r>
          </w:p>
        </w:tc>
        <w:tc>
          <w:tcPr>
            <w:tcW w:w="109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sz w:val="24"/>
                <w:szCs w:val="24"/>
              </w:rPr>
              <w:t>Чел. / %</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sz w:val="24"/>
                <w:szCs w:val="24"/>
              </w:rPr>
              <w:t xml:space="preserve">педагогический стаж работы которых составляет: </w:t>
            </w:r>
            <w:r>
              <w:rPr>
                <w:rFonts w:eastAsia="Symbol" w:cs="Symbol" w:ascii="Symbol" w:hAnsi="Symbol"/>
                <w:sz w:val="24"/>
                <w:szCs w:val="24"/>
              </w:rPr>
              <w:t></w:t>
            </w:r>
            <w:r>
              <w:rPr>
                <w:rFonts w:cs="Times New Roman" w:ascii="Times New Roman" w:hAnsi="Times New Roman"/>
                <w:sz w:val="24"/>
                <w:szCs w:val="24"/>
              </w:rPr>
              <w:t xml:space="preserve">до 5 лет; </w:t>
            </w:r>
            <w:r>
              <w:rPr>
                <w:rFonts w:eastAsia="Symbol" w:cs="Symbol" w:ascii="Symbol" w:hAnsi="Symbol"/>
                <w:sz w:val="24"/>
                <w:szCs w:val="24"/>
              </w:rPr>
              <w:t></w:t>
            </w:r>
            <w:r>
              <w:rPr>
                <w:rFonts w:cs="Times New Roman" w:ascii="Times New Roman" w:hAnsi="Times New Roman"/>
                <w:sz w:val="24"/>
                <w:szCs w:val="24"/>
              </w:rPr>
              <w:t>свыше 30 лет</w:t>
            </w:r>
          </w:p>
        </w:tc>
        <w:tc>
          <w:tcPr>
            <w:tcW w:w="109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sz w:val="24"/>
                <w:szCs w:val="24"/>
              </w:rPr>
              <w:t>Чел. / %</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sz w:val="24"/>
                <w:szCs w:val="24"/>
              </w:rPr>
              <w:t>своевременно прошедших повышение квалификации по осуществлению образовательной деятельности в условиях ФГОС НОО, в общей % численности педагогических работников</w:t>
            </w:r>
          </w:p>
        </w:tc>
        <w:tc>
          <w:tcPr>
            <w:tcW w:w="109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sz w:val="24"/>
                <w:szCs w:val="24"/>
              </w:rPr>
              <w:t>Чел. / %</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охваченных непрерывным профессиональным образованием: </w:t>
            </w:r>
          </w:p>
          <w:p>
            <w:pPr>
              <w:pStyle w:val="Normal"/>
              <w:spacing w:lineRule="auto" w:line="240" w:before="0" w:after="0"/>
              <w:rPr>
                <w:rFonts w:ascii="Times New Roman" w:hAnsi="Times New Roman" w:cs="Times New Roman"/>
                <w:b/>
                <w:b/>
                <w:sz w:val="24"/>
                <w:szCs w:val="24"/>
              </w:rPr>
            </w:pPr>
            <w:r>
              <w:rPr>
                <w:rFonts w:eastAsia="Symbol" w:cs="Symbol" w:ascii="Symbol" w:hAnsi="Symbol"/>
                <w:sz w:val="24"/>
                <w:szCs w:val="24"/>
              </w:rPr>
              <w:t></w:t>
            </w:r>
            <w:r>
              <w:rPr>
                <w:rFonts w:cs="Times New Roman" w:ascii="Times New Roman" w:hAnsi="Times New Roman"/>
                <w:sz w:val="24"/>
                <w:szCs w:val="24"/>
              </w:rPr>
              <w:t xml:space="preserve"> </w:t>
            </w:r>
            <w:r>
              <w:rPr>
                <w:rFonts w:cs="Times New Roman" w:ascii="Times New Roman" w:hAnsi="Times New Roman"/>
                <w:sz w:val="24"/>
                <w:szCs w:val="24"/>
              </w:rPr>
              <w:t>тренинги, обучающие семинары, стажировки вне программ повышения квалификации</w:t>
            </w:r>
          </w:p>
        </w:tc>
        <w:tc>
          <w:tcPr>
            <w:tcW w:w="109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sz w:val="24"/>
                <w:szCs w:val="24"/>
              </w:rPr>
              <w:t>Чел. / %</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sz w:val="24"/>
                <w:szCs w:val="24"/>
              </w:rPr>
              <w:t>реализовавших методические проекты под руководством ученых или научнопедагогических работников партнерских организаций</w:t>
            </w:r>
          </w:p>
        </w:tc>
        <w:tc>
          <w:tcPr>
            <w:tcW w:w="109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sz w:val="24"/>
                <w:szCs w:val="24"/>
              </w:rPr>
              <w:t>Чел. / %</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являющихся победителями или призерами конкурса «Учитель года» (по этапам конкурса)</w:t>
            </w:r>
          </w:p>
        </w:tc>
        <w:tc>
          <w:tcPr>
            <w:tcW w:w="1091" w:type="dxa"/>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Чел. / %</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являющихся победителями или призерами муниципальных, региональных и федеральных конкурсов профессионального мастерства</w:t>
            </w:r>
          </w:p>
        </w:tc>
        <w:tc>
          <w:tcPr>
            <w:tcW w:w="1091" w:type="dxa"/>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Чел. / %</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имеющих публикации в профессиональных изданиях на региональном или федеральном уровнях</w:t>
            </w:r>
          </w:p>
        </w:tc>
        <w:tc>
          <w:tcPr>
            <w:tcW w:w="1091" w:type="dxa"/>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Чел. / %</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ведущих личную страничку на сайте ОО</w:t>
            </w:r>
          </w:p>
        </w:tc>
        <w:tc>
          <w:tcPr>
            <w:tcW w:w="1091" w:type="dxa"/>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Чел. / %</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Численность / удельный вес численности педагогических и административно-хозяйственных работников: • прошедших за последние три года повышение квалификации по профилю профессиональной деятельности и (или) иной осуществляемой в ОО деятельности, в общей численности педагогических и административно-хозяйственных работников</w:t>
            </w:r>
          </w:p>
        </w:tc>
        <w:tc>
          <w:tcPr>
            <w:tcW w:w="1091" w:type="dxa"/>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Чел. / %</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имеющих профессиональную переподготовку по профилю / направлению профессиональной деятельности или иной осуществляемой в ОО деятельности, в общей численности педагогических и административно-хозяйственных работников</w:t>
            </w:r>
          </w:p>
        </w:tc>
        <w:tc>
          <w:tcPr>
            <w:tcW w:w="1091" w:type="dxa"/>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Чел. / %</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Количество педагогов-психологов в штатном расписании</w:t>
            </w:r>
          </w:p>
        </w:tc>
        <w:tc>
          <w:tcPr>
            <w:tcW w:w="1091" w:type="dxa"/>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Чел.</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Количество педагогов-психологов по совместительству</w:t>
            </w:r>
          </w:p>
        </w:tc>
        <w:tc>
          <w:tcPr>
            <w:tcW w:w="1091" w:type="dxa"/>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Чел.</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Количество социальных педагогов</w:t>
            </w:r>
          </w:p>
        </w:tc>
        <w:tc>
          <w:tcPr>
            <w:tcW w:w="1091" w:type="dxa"/>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Чел.</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Доля педагогических работников с вмененным функционалом тьютора в общем количестве педагогических работников</w:t>
            </w:r>
          </w:p>
        </w:tc>
        <w:tc>
          <w:tcPr>
            <w:tcW w:w="1091" w:type="dxa"/>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Ед.  / %</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Доля мероприятий, курируемых педагогом-психологом в программе воспитания</w:t>
            </w:r>
          </w:p>
        </w:tc>
        <w:tc>
          <w:tcPr>
            <w:tcW w:w="1091" w:type="dxa"/>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Ед.  / %</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Доля мероприятий, курируемых педагогом-психологом в программе формирования и развития УУД</w:t>
            </w:r>
          </w:p>
        </w:tc>
        <w:tc>
          <w:tcPr>
            <w:tcW w:w="1091" w:type="dxa"/>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Ед.  / %</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Доля курсов внеурочной деятельности, разработанных при участии (соавторстве) педагога-психолога, в общем объеме курсов внеурочной деятельности в плане внеурочной деятельности</w:t>
            </w:r>
          </w:p>
        </w:tc>
        <w:tc>
          <w:tcPr>
            <w:tcW w:w="1091" w:type="dxa"/>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Ед.  / %</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Количество дополнительных образовательных программ на базе школы, разработанных при участии (соавторстве) педагогапсихолога</w:t>
            </w:r>
          </w:p>
        </w:tc>
        <w:tc>
          <w:tcPr>
            <w:tcW w:w="1091" w:type="dxa"/>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Ед.  </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Наличие оборудованного помещения, приспособленного для индивидуальных консультаций с обучающимися, родителями</w:t>
            </w:r>
          </w:p>
        </w:tc>
        <w:tc>
          <w:tcPr>
            <w:tcW w:w="1091" w:type="dxa"/>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Есть/нет</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Наличие оборудованных образовательных пространств для психологической разгрузки, релаксационных зон</w:t>
            </w:r>
          </w:p>
        </w:tc>
        <w:tc>
          <w:tcPr>
            <w:tcW w:w="1091" w:type="dxa"/>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Есть/нет</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Материально- технические условия</w:t>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Количество компьютеров в расчете на одного учащегося</w:t>
            </w:r>
          </w:p>
        </w:tc>
        <w:tc>
          <w:tcPr>
            <w:tcW w:w="1091" w:type="dxa"/>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Ед.</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Оснащенность учебных кабинетов (в соответствии с ФГОС ОО)</w:t>
            </w:r>
          </w:p>
        </w:tc>
        <w:tc>
          <w:tcPr>
            <w:tcW w:w="1091" w:type="dxa"/>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Ед.  / %</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Наличие читального зала библиотеки, в том числе: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с обеспечением возможности работы на стационарных или переносных компьютерах;</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с медиатекой;</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 </w:t>
            </w:r>
            <w:r>
              <w:rPr>
                <w:rFonts w:cs="Times New Roman" w:ascii="Times New Roman" w:hAnsi="Times New Roman"/>
                <w:sz w:val="24"/>
                <w:szCs w:val="24"/>
              </w:rPr>
              <w:t xml:space="preserve">оснащенного средствами сканирования и распознавания текстов;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с выходом в Интернет с компьютеров, расположенных в помещении библиотеки;</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 </w:t>
            </w:r>
            <w:r>
              <w:rPr>
                <w:rFonts w:cs="Times New Roman" w:ascii="Times New Roman" w:hAnsi="Times New Roman"/>
                <w:sz w:val="24"/>
                <w:szCs w:val="24"/>
              </w:rPr>
              <w:t>с возможностью размножения печатных бумажных материалов</w:t>
            </w:r>
          </w:p>
        </w:tc>
        <w:tc>
          <w:tcPr>
            <w:tcW w:w="1091" w:type="dxa"/>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Да/нет</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Численность / 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091" w:type="dxa"/>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Чел.%</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Общая площадь помещений, в которых осуществляется образовательная деятельность, в расчете на одного учащегося</w:t>
            </w:r>
          </w:p>
        </w:tc>
        <w:tc>
          <w:tcPr>
            <w:tcW w:w="1091" w:type="dxa"/>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2</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Общая площадь помещений, оборудованных для групповой работы, в расчете на одного учащегося</w:t>
            </w:r>
          </w:p>
        </w:tc>
        <w:tc>
          <w:tcPr>
            <w:tcW w:w="109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м 2</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Общая площадь помещений, оборудованных для проведения лабораторных занятий и учебных исследований, в расчете на одного учащегося</w:t>
            </w:r>
          </w:p>
        </w:tc>
        <w:tc>
          <w:tcPr>
            <w:tcW w:w="109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м 2</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Доля внеурочных мероприятий в общем объеме плана внеурочной деятельности, проведенных с использованием материальнотехнической базы организаций партнеров</w:t>
            </w:r>
          </w:p>
        </w:tc>
        <w:tc>
          <w:tcPr>
            <w:tcW w:w="1091" w:type="dxa"/>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Ед.%</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Количество экземпляров учебной и учебно-методической литературы в общем количестве единиц хранения библиотечного фонда, состоящих на учете, в расчете на одного учащегося</w:t>
            </w:r>
          </w:p>
        </w:tc>
        <w:tc>
          <w:tcPr>
            <w:tcW w:w="1091" w:type="dxa"/>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Ед.</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Количество экземпляров справочной литературы в общем количестве единиц хранения библиотечного фонда, состоящих на учете, в расчете на одного учащегося</w:t>
            </w:r>
          </w:p>
        </w:tc>
        <w:tc>
          <w:tcPr>
            <w:tcW w:w="1091" w:type="dxa"/>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Ед.</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Количество экземпляров научнопопулярной литературы в общем количестве единиц хранения библиотечного фонда, состоящих на учете, в расчете на одного учащегося</w:t>
            </w:r>
          </w:p>
        </w:tc>
        <w:tc>
          <w:tcPr>
            <w:tcW w:w="1091" w:type="dxa"/>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Ед.</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Соответствие используемых учебников и учебных пособий федеральному перечню</w:t>
            </w:r>
          </w:p>
        </w:tc>
        <w:tc>
          <w:tcPr>
            <w:tcW w:w="1091" w:type="dxa"/>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Соответствует/не соответствует</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Наличие общедоступного аннотированного перечня информационных образовательных ресурсов Интернета</w:t>
            </w:r>
          </w:p>
        </w:tc>
        <w:tc>
          <w:tcPr>
            <w:tcW w:w="1091" w:type="dxa"/>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Да/ нет</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Количество единиц электронных образовательных ресурсов, используемых при реализации рабочих программ по предметам учебного плана</w:t>
            </w:r>
          </w:p>
        </w:tc>
        <w:tc>
          <w:tcPr>
            <w:tcW w:w="1091" w:type="dxa"/>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Ед.</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Количество единиц цифровых программных продуктов, используемых при реализации плана внеурочной деятельности</w:t>
            </w:r>
          </w:p>
        </w:tc>
        <w:tc>
          <w:tcPr>
            <w:tcW w:w="1091" w:type="dxa"/>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Ед.</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Количество единиц цифровых программных продуктов, используемых для обеспечения проектной деятельности обучающихся</w:t>
            </w:r>
          </w:p>
        </w:tc>
        <w:tc>
          <w:tcPr>
            <w:tcW w:w="1091" w:type="dxa"/>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Ед.</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r>
        <w:trPr/>
        <w:tc>
          <w:tcPr>
            <w:tcW w:w="1242"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335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Соответствие содержания сайта требованиям статьи 29 Федерального закона № 273-ФЗ «Об образовании в Российской Федерации»</w:t>
            </w:r>
          </w:p>
        </w:tc>
        <w:tc>
          <w:tcPr>
            <w:tcW w:w="1091" w:type="dxa"/>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Соответствует/не соответствует</w:t>
            </w:r>
          </w:p>
        </w:tc>
        <w:tc>
          <w:tcPr>
            <w:tcW w:w="1298"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71"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212"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r>
    </w:tbl>
    <w:p>
      <w:pPr>
        <w:pStyle w:val="Normal"/>
        <w:jc w:val="center"/>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t xml:space="preserve"> </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jc w:val="right"/>
        <w:rPr>
          <w:rFonts w:ascii="Times New Roman" w:hAnsi="Times New Roman" w:cs="Times New Roman"/>
          <w:b/>
          <w:b/>
          <w:sz w:val="28"/>
          <w:szCs w:val="28"/>
        </w:rPr>
      </w:pPr>
      <w:r>
        <w:rPr>
          <w:rFonts w:cs="Times New Roman" w:ascii="Times New Roman" w:hAnsi="Times New Roman"/>
          <w:b/>
          <w:sz w:val="28"/>
          <w:szCs w:val="28"/>
        </w:rPr>
        <w:t xml:space="preserve">Приложение 5 </w:t>
      </w:r>
    </w:p>
    <w:p>
      <w:pPr>
        <w:pStyle w:val="Normal"/>
        <w:rPr>
          <w:rFonts w:ascii="Times New Roman" w:hAnsi="Times New Roman" w:cs="Times New Roman"/>
          <w:b/>
          <w:b/>
          <w:sz w:val="28"/>
          <w:szCs w:val="28"/>
        </w:rPr>
      </w:pPr>
      <w:r>
        <w:rPr>
          <w:rFonts w:cs="Times New Roman" w:ascii="Times New Roman" w:hAnsi="Times New Roman"/>
          <w:b/>
          <w:sz w:val="28"/>
          <w:szCs w:val="28"/>
        </w:rPr>
        <w:t>Показатели оценки предметных образовательных результатов</w:t>
      </w:r>
    </w:p>
    <w:tbl>
      <w:tblPr>
        <w:tblStyle w:val="a7"/>
        <w:tblW w:w="9571" w:type="dxa"/>
        <w:jc w:val="left"/>
        <w:tblInd w:w="0" w:type="dxa"/>
        <w:tblCellMar>
          <w:top w:w="0" w:type="dxa"/>
          <w:left w:w="108" w:type="dxa"/>
          <w:bottom w:w="0" w:type="dxa"/>
          <w:right w:w="108" w:type="dxa"/>
        </w:tblCellMar>
        <w:tblLook w:val="04a0"/>
      </w:tblPr>
      <w:tblGrid>
        <w:gridCol w:w="7478"/>
        <w:gridCol w:w="2092"/>
      </w:tblGrid>
      <w:tr>
        <w:trPr/>
        <w:tc>
          <w:tcPr>
            <w:tcW w:w="7478"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Показатели оценки предметных образовательных результатов</w:t>
            </w:r>
          </w:p>
        </w:tc>
        <w:tc>
          <w:tcPr>
            <w:tcW w:w="2092"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Единица измерения</w:t>
            </w:r>
          </w:p>
        </w:tc>
      </w:tr>
      <w:tr>
        <w:trPr/>
        <w:tc>
          <w:tcPr>
            <w:tcW w:w="7478" w:type="dxa"/>
            <w:tcBorders/>
            <w:shd w:fill="auto" w:val="clear"/>
          </w:tcPr>
          <w:p>
            <w:pPr>
              <w:pStyle w:val="Normal"/>
              <w:spacing w:lineRule="auto" w:line="240" w:before="0" w:after="0"/>
              <w:rPr>
                <w:rFonts w:ascii="Times New Roman" w:hAnsi="Times New Roman" w:cs="Times New Roman"/>
                <w:b/>
                <w:b/>
                <w:sz w:val="28"/>
                <w:szCs w:val="28"/>
              </w:rPr>
            </w:pPr>
            <w:r>
              <w:rPr>
                <w:rFonts w:cs="Times New Roman" w:ascii="Times New Roman" w:hAnsi="Times New Roman"/>
                <w:sz w:val="28"/>
                <w:szCs w:val="28"/>
              </w:rPr>
              <w:t>Численность / удельный вес численности учащихся, успевающих на 4 и 5 по результатам промежуточной аттестации, в общей численности учащихся</w:t>
            </w:r>
          </w:p>
        </w:tc>
        <w:tc>
          <w:tcPr>
            <w:tcW w:w="2092" w:type="dxa"/>
            <w:tcBorders/>
            <w:shd w:fill="auto" w:val="clear"/>
          </w:tcPr>
          <w:p>
            <w:pPr>
              <w:pStyle w:val="Normal"/>
              <w:spacing w:lineRule="auto" w:line="240" w:before="0" w:after="0"/>
              <w:rPr>
                <w:rFonts w:ascii="Times New Roman" w:hAnsi="Times New Roman" w:cs="Times New Roman"/>
                <w:b/>
                <w:b/>
                <w:sz w:val="28"/>
                <w:szCs w:val="28"/>
              </w:rPr>
            </w:pPr>
            <w:r>
              <w:rPr>
                <w:rFonts w:cs="Times New Roman" w:ascii="Times New Roman" w:hAnsi="Times New Roman"/>
                <w:sz w:val="28"/>
                <w:szCs w:val="28"/>
              </w:rPr>
              <w:t>Чел. / %</w:t>
            </w:r>
          </w:p>
        </w:tc>
      </w:tr>
      <w:tr>
        <w:trPr/>
        <w:tc>
          <w:tcPr>
            <w:tcW w:w="7478" w:type="dxa"/>
            <w:tcBorders/>
            <w:shd w:fill="auto" w:val="clear"/>
          </w:tcPr>
          <w:p>
            <w:pPr>
              <w:pStyle w:val="Normal"/>
              <w:spacing w:lineRule="auto" w:line="240" w:before="0" w:after="0"/>
              <w:rPr>
                <w:rFonts w:ascii="Times New Roman" w:hAnsi="Times New Roman" w:cs="Times New Roman"/>
                <w:b/>
                <w:b/>
                <w:sz w:val="28"/>
                <w:szCs w:val="28"/>
              </w:rPr>
            </w:pPr>
            <w:r>
              <w:rPr>
                <w:rFonts w:cs="Times New Roman" w:ascii="Times New Roman" w:hAnsi="Times New Roman"/>
                <w:sz w:val="28"/>
                <w:szCs w:val="28"/>
              </w:rPr>
              <w:t>учащихся, принявших участие в различных олимпиадах, смотрах, конкурсах, в общей численности учащихся</w:t>
            </w:r>
          </w:p>
        </w:tc>
        <w:tc>
          <w:tcPr>
            <w:tcW w:w="2092" w:type="dxa"/>
            <w:tcBorders/>
            <w:shd w:fill="auto" w:val="clear"/>
          </w:tcPr>
          <w:p>
            <w:pPr>
              <w:pStyle w:val="Normal"/>
              <w:spacing w:lineRule="auto" w:line="240" w:before="0" w:after="0"/>
              <w:rPr>
                <w:rFonts w:ascii="Times New Roman" w:hAnsi="Times New Roman" w:cs="Times New Roman"/>
                <w:b/>
                <w:b/>
                <w:sz w:val="28"/>
                <w:szCs w:val="28"/>
              </w:rPr>
            </w:pPr>
            <w:r>
              <w:rPr>
                <w:rFonts w:cs="Times New Roman" w:ascii="Times New Roman" w:hAnsi="Times New Roman"/>
                <w:sz w:val="28"/>
                <w:szCs w:val="28"/>
              </w:rPr>
              <w:t>Чел. / %</w:t>
            </w:r>
          </w:p>
        </w:tc>
      </w:tr>
      <w:tr>
        <w:trPr/>
        <w:tc>
          <w:tcPr>
            <w:tcW w:w="7478"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учащихся — победителей и призеров олимпиад, смотров, конкурсов, в общей численности учащихся, в том числе: – муниципального уровня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 – </w:t>
            </w:r>
            <w:r>
              <w:rPr>
                <w:rFonts w:cs="Times New Roman" w:ascii="Times New Roman" w:hAnsi="Times New Roman"/>
                <w:sz w:val="28"/>
                <w:szCs w:val="28"/>
              </w:rPr>
              <w:t xml:space="preserve">регионального уровня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 – </w:t>
            </w:r>
            <w:r>
              <w:rPr>
                <w:rFonts w:cs="Times New Roman" w:ascii="Times New Roman" w:hAnsi="Times New Roman"/>
                <w:sz w:val="28"/>
                <w:szCs w:val="28"/>
              </w:rPr>
              <w:t>федерального уровня</w:t>
            </w:r>
          </w:p>
          <w:p>
            <w:pPr>
              <w:pStyle w:val="Normal"/>
              <w:spacing w:lineRule="auto" w:line="240" w:before="0" w:after="0"/>
              <w:rPr>
                <w:rFonts w:ascii="Times New Roman" w:hAnsi="Times New Roman" w:cs="Times New Roman"/>
                <w:b/>
                <w:b/>
                <w:sz w:val="28"/>
                <w:szCs w:val="28"/>
              </w:rPr>
            </w:pPr>
            <w:r>
              <w:rPr>
                <w:rFonts w:cs="Times New Roman" w:ascii="Times New Roman" w:hAnsi="Times New Roman"/>
                <w:sz w:val="28"/>
                <w:szCs w:val="28"/>
              </w:rPr>
              <w:t xml:space="preserve">  – </w:t>
            </w:r>
            <w:r>
              <w:rPr>
                <w:rFonts w:cs="Times New Roman" w:ascii="Times New Roman" w:hAnsi="Times New Roman"/>
                <w:sz w:val="28"/>
                <w:szCs w:val="28"/>
              </w:rPr>
              <w:t>международного уровня</w:t>
            </w:r>
          </w:p>
        </w:tc>
        <w:tc>
          <w:tcPr>
            <w:tcW w:w="2092" w:type="dxa"/>
            <w:tcBorders/>
            <w:shd w:fill="auto" w:val="clear"/>
          </w:tcPr>
          <w:p>
            <w:pPr>
              <w:pStyle w:val="Normal"/>
              <w:spacing w:lineRule="auto" w:line="240" w:before="0" w:after="0"/>
              <w:rPr>
                <w:rFonts w:ascii="Times New Roman" w:hAnsi="Times New Roman" w:cs="Times New Roman"/>
                <w:b/>
                <w:b/>
                <w:sz w:val="28"/>
                <w:szCs w:val="28"/>
              </w:rPr>
            </w:pPr>
            <w:r>
              <w:rPr>
                <w:rFonts w:cs="Times New Roman" w:ascii="Times New Roman" w:hAnsi="Times New Roman"/>
                <w:sz w:val="28"/>
                <w:szCs w:val="28"/>
              </w:rPr>
              <w:t>Чел. / %</w:t>
            </w:r>
          </w:p>
        </w:tc>
      </w:tr>
      <w:tr>
        <w:trPr/>
        <w:tc>
          <w:tcPr>
            <w:tcW w:w="7478" w:type="dxa"/>
            <w:tcBorders/>
            <w:shd w:fill="auto" w:val="clear"/>
          </w:tcPr>
          <w:p>
            <w:pPr>
              <w:pStyle w:val="Normal"/>
              <w:spacing w:lineRule="auto" w:line="240" w:before="0" w:after="0"/>
              <w:rPr>
                <w:rFonts w:ascii="Times New Roman" w:hAnsi="Times New Roman" w:cs="Times New Roman"/>
                <w:b/>
                <w:b/>
                <w:sz w:val="28"/>
                <w:szCs w:val="28"/>
              </w:rPr>
            </w:pPr>
            <w:r>
              <w:rPr>
                <w:rFonts w:cs="Times New Roman" w:ascii="Times New Roman" w:hAnsi="Times New Roman"/>
                <w:sz w:val="28"/>
                <w:szCs w:val="28"/>
              </w:rPr>
              <w:t>учащихся, получающих образование с углубленным изучением отдельных учебных предметов, в общей численности учащихся</w:t>
            </w:r>
          </w:p>
        </w:tc>
        <w:tc>
          <w:tcPr>
            <w:tcW w:w="2092" w:type="dxa"/>
            <w:tcBorders/>
            <w:shd w:fill="auto" w:val="clear"/>
          </w:tcPr>
          <w:p>
            <w:pPr>
              <w:pStyle w:val="Normal"/>
              <w:spacing w:lineRule="auto" w:line="240" w:before="0" w:after="0"/>
              <w:rPr>
                <w:rFonts w:ascii="Times New Roman" w:hAnsi="Times New Roman" w:cs="Times New Roman"/>
                <w:b/>
                <w:b/>
                <w:sz w:val="28"/>
                <w:szCs w:val="28"/>
              </w:rPr>
            </w:pPr>
            <w:r>
              <w:rPr>
                <w:rFonts w:cs="Times New Roman" w:ascii="Times New Roman" w:hAnsi="Times New Roman"/>
                <w:sz w:val="28"/>
                <w:szCs w:val="28"/>
              </w:rPr>
              <w:t>Чел. / %</w:t>
            </w:r>
          </w:p>
        </w:tc>
      </w:tr>
    </w:tbl>
    <w:p>
      <w:pPr>
        <w:pStyle w:val="Normal"/>
        <w:rPr>
          <w:rFonts w:ascii="Times New Roman" w:hAnsi="Times New Roman" w:cs="Times New Roman"/>
          <w:b/>
          <w:b/>
          <w:sz w:val="28"/>
          <w:szCs w:val="28"/>
        </w:rPr>
      </w:pPr>
      <w:r>
        <w:rPr>
          <w:rFonts w:cs="Times New Roman" w:ascii="Times New Roman" w:hAnsi="Times New Roman"/>
          <w:b/>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jc w:val="right"/>
        <w:rPr>
          <w:rFonts w:ascii="Times New Roman" w:hAnsi="Times New Roman" w:cs="Times New Roman"/>
          <w:sz w:val="28"/>
          <w:szCs w:val="28"/>
        </w:rPr>
      </w:pPr>
      <w:r>
        <w:rPr>
          <w:rFonts w:cs="Times New Roman" w:ascii="Times New Roman" w:hAnsi="Times New Roman"/>
          <w:sz w:val="28"/>
          <w:szCs w:val="28"/>
        </w:rPr>
      </w:r>
    </w:p>
    <w:p>
      <w:pPr>
        <w:pStyle w:val="Normal"/>
        <w:jc w:val="right"/>
        <w:rPr>
          <w:rFonts w:ascii="Times New Roman" w:hAnsi="Times New Roman" w:cs="Times New Roman"/>
          <w:sz w:val="28"/>
          <w:szCs w:val="28"/>
        </w:rPr>
      </w:pPr>
      <w:r>
        <w:rPr>
          <w:rFonts w:cs="Times New Roman" w:ascii="Times New Roman" w:hAnsi="Times New Roman"/>
          <w:sz w:val="28"/>
          <w:szCs w:val="28"/>
        </w:rPr>
      </w:r>
    </w:p>
    <w:p>
      <w:pPr>
        <w:pStyle w:val="Normal"/>
        <w:jc w:val="right"/>
        <w:rPr>
          <w:rFonts w:ascii="Times New Roman" w:hAnsi="Times New Roman" w:cs="Times New Roman"/>
          <w:sz w:val="28"/>
          <w:szCs w:val="28"/>
        </w:rPr>
      </w:pPr>
      <w:r>
        <w:rPr>
          <w:rFonts w:cs="Times New Roman" w:ascii="Times New Roman" w:hAnsi="Times New Roman"/>
          <w:sz w:val="28"/>
          <w:szCs w:val="28"/>
        </w:rPr>
      </w:r>
    </w:p>
    <w:p>
      <w:pPr>
        <w:pStyle w:val="Normal"/>
        <w:jc w:val="right"/>
        <w:rPr>
          <w:rFonts w:ascii="Times New Roman" w:hAnsi="Times New Roman" w:cs="Times New Roman"/>
          <w:b/>
          <w:b/>
          <w:sz w:val="28"/>
          <w:szCs w:val="28"/>
        </w:rPr>
      </w:pPr>
      <w:r>
        <w:rPr>
          <w:rFonts w:cs="Times New Roman" w:ascii="Times New Roman" w:hAnsi="Times New Roman"/>
          <w:b/>
          <w:sz w:val="28"/>
          <w:szCs w:val="28"/>
        </w:rPr>
      </w:r>
    </w:p>
    <w:p>
      <w:pPr>
        <w:pStyle w:val="Normal"/>
        <w:jc w:val="right"/>
        <w:rPr>
          <w:rFonts w:ascii="Times New Roman" w:hAnsi="Times New Roman" w:cs="Times New Roman"/>
          <w:b/>
          <w:b/>
          <w:sz w:val="28"/>
          <w:szCs w:val="28"/>
        </w:rPr>
      </w:pPr>
      <w:r>
        <w:rPr>
          <w:rFonts w:cs="Times New Roman" w:ascii="Times New Roman" w:hAnsi="Times New Roman"/>
          <w:b/>
          <w:sz w:val="28"/>
          <w:szCs w:val="28"/>
        </w:rPr>
      </w:r>
    </w:p>
    <w:p>
      <w:pPr>
        <w:pStyle w:val="Normal"/>
        <w:jc w:val="right"/>
        <w:rPr>
          <w:rFonts w:ascii="Times New Roman" w:hAnsi="Times New Roman" w:cs="Times New Roman"/>
          <w:b/>
          <w:b/>
          <w:sz w:val="28"/>
          <w:szCs w:val="28"/>
        </w:rPr>
      </w:pPr>
      <w:r>
        <w:rPr>
          <w:rFonts w:cs="Times New Roman" w:ascii="Times New Roman" w:hAnsi="Times New Roman"/>
          <w:b/>
          <w:sz w:val="28"/>
          <w:szCs w:val="28"/>
        </w:rPr>
      </w:r>
    </w:p>
    <w:p>
      <w:pPr>
        <w:pStyle w:val="Normal"/>
        <w:jc w:val="right"/>
        <w:rPr>
          <w:rFonts w:ascii="Times New Roman" w:hAnsi="Times New Roman" w:cs="Times New Roman"/>
          <w:b/>
          <w:b/>
          <w:sz w:val="28"/>
          <w:szCs w:val="28"/>
        </w:rPr>
      </w:pPr>
      <w:r>
        <w:rPr>
          <w:rFonts w:cs="Times New Roman" w:ascii="Times New Roman" w:hAnsi="Times New Roman"/>
          <w:b/>
          <w:sz w:val="28"/>
          <w:szCs w:val="28"/>
        </w:rPr>
        <w:t xml:space="preserve">Приложение 6 </w:t>
      </w:r>
    </w:p>
    <w:p>
      <w:pPr>
        <w:pStyle w:val="Normal"/>
        <w:rPr>
          <w:rFonts w:ascii="Times New Roman" w:hAnsi="Times New Roman" w:cs="Times New Roman"/>
          <w:b/>
          <w:b/>
          <w:sz w:val="28"/>
          <w:szCs w:val="28"/>
        </w:rPr>
      </w:pPr>
      <w:r>
        <w:rPr>
          <w:rFonts w:cs="Times New Roman" w:ascii="Times New Roman" w:hAnsi="Times New Roman"/>
          <w:b/>
          <w:sz w:val="28"/>
          <w:szCs w:val="28"/>
        </w:rPr>
        <w:t xml:space="preserve">Показатели оценки метапредметных образовательных результатов </w:t>
      </w:r>
    </w:p>
    <w:p>
      <w:pPr>
        <w:pStyle w:val="Normal"/>
        <w:jc w:val="center"/>
        <w:rPr>
          <w:rFonts w:ascii="Times New Roman" w:hAnsi="Times New Roman" w:cs="Times New Roman"/>
          <w:b/>
          <w:b/>
          <w:sz w:val="28"/>
          <w:szCs w:val="28"/>
        </w:rPr>
      </w:pPr>
      <w:r>
        <w:rPr>
          <w:rFonts w:cs="Times New Roman" w:ascii="Times New Roman" w:hAnsi="Times New Roman"/>
          <w:b/>
          <w:sz w:val="28"/>
          <w:szCs w:val="28"/>
        </w:rPr>
        <w:t>уровень начального общего образования</w:t>
      </w:r>
    </w:p>
    <w:p>
      <w:pPr>
        <w:pStyle w:val="Normal"/>
        <w:spacing w:lineRule="auto" w:line="240" w:before="0" w:after="0"/>
        <w:jc w:val="center"/>
        <w:rPr>
          <w:rFonts w:ascii="Times New Roman" w:hAnsi="Times New Roman" w:cs="Times New Roman"/>
          <w:b/>
          <w:b/>
          <w:sz w:val="26"/>
          <w:szCs w:val="26"/>
        </w:rPr>
      </w:pPr>
      <w:r>
        <w:rPr>
          <w:rFonts w:cs="Times New Roman" w:ascii="Times New Roman" w:hAnsi="Times New Roman"/>
          <w:b/>
          <w:sz w:val="26"/>
          <w:szCs w:val="26"/>
        </w:rPr>
        <w:t xml:space="preserve">20__ __ учебный год, учитель ____________________ </w:t>
      </w:r>
    </w:p>
    <w:p>
      <w:pPr>
        <w:pStyle w:val="Normal"/>
        <w:spacing w:lineRule="auto" w:line="240" w:before="0" w:after="0"/>
        <w:jc w:val="center"/>
        <w:rPr>
          <w:rFonts w:ascii="Times New Roman" w:hAnsi="Times New Roman" w:cs="Times New Roman"/>
          <w:b/>
          <w:b/>
        </w:rPr>
      </w:pPr>
      <w:r>
        <w:rPr>
          <w:rFonts w:cs="Times New Roman" w:ascii="Times New Roman" w:hAnsi="Times New Roman"/>
        </w:rPr>
        <w:t>2 балла – знает, умеет; 1 балл – частично знает, умеет; 0 баллов – не владеет, не знает, не умеет</w:t>
      </w:r>
    </w:p>
    <w:tbl>
      <w:tblPr>
        <w:tblStyle w:val="a7"/>
        <w:tblW w:w="7939" w:type="dxa"/>
        <w:jc w:val="left"/>
        <w:tblInd w:w="260" w:type="dxa"/>
        <w:tblCellMar>
          <w:top w:w="0" w:type="dxa"/>
          <w:left w:w="108" w:type="dxa"/>
          <w:bottom w:w="0" w:type="dxa"/>
          <w:right w:w="108" w:type="dxa"/>
        </w:tblCellMar>
        <w:tblLook w:val="04a0"/>
      </w:tblPr>
      <w:tblGrid>
        <w:gridCol w:w="3970"/>
        <w:gridCol w:w="613"/>
        <w:gridCol w:w="614"/>
        <w:gridCol w:w="614"/>
        <w:gridCol w:w="614"/>
        <w:gridCol w:w="1513"/>
      </w:tblGrid>
      <w:tr>
        <w:trPr>
          <w:trHeight w:val="1134" w:hRule="exact"/>
          <w:cantSplit w:val="true"/>
        </w:trPr>
        <w:tc>
          <w:tcPr>
            <w:tcW w:w="397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b/>
                <w:b/>
              </w:rPr>
            </w:pPr>
            <w:r>
              <w:rPr>
                <w:rFonts w:cs="Times New Roman" w:ascii="Times New Roman" w:hAnsi="Times New Roman"/>
                <w:b/>
              </w:rPr>
              <w:t>Группа</w:t>
            </w:r>
          </w:p>
          <w:p>
            <w:pPr>
              <w:pStyle w:val="Normal"/>
              <w:spacing w:lineRule="auto" w:line="240" w:before="0" w:after="0"/>
              <w:rPr>
                <w:rFonts w:ascii="Times New Roman" w:hAnsi="Times New Roman" w:cs="Times New Roman"/>
                <w:b/>
                <w:b/>
              </w:rPr>
            </w:pPr>
            <w:r>
              <w:rPr>
                <w:rFonts w:cs="Times New Roman" w:ascii="Times New Roman" w:hAnsi="Times New Roman"/>
                <w:b/>
              </w:rPr>
              <w:t xml:space="preserve">метапредметных </w:t>
            </w:r>
          </w:p>
          <w:p>
            <w:pPr>
              <w:pStyle w:val="Normal"/>
              <w:spacing w:lineRule="auto" w:line="240" w:before="0" w:after="0"/>
              <w:rPr>
                <w:rFonts w:ascii="Times New Roman" w:hAnsi="Times New Roman" w:cs="Times New Roman"/>
                <w:b/>
                <w:b/>
              </w:rPr>
            </w:pPr>
            <w:r>
              <w:rPr>
                <w:rFonts w:cs="Times New Roman" w:ascii="Times New Roman" w:hAnsi="Times New Roman"/>
                <w:b/>
              </w:rPr>
              <w:t>образовательных результатов</w:t>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tc>
        <w:tc>
          <w:tcPr>
            <w:tcW w:w="613" w:type="dxa"/>
            <w:tcBorders/>
            <w:shd w:fill="auto" w:val="clear"/>
            <w:textDirection w:val="btLr"/>
          </w:tcPr>
          <w:p>
            <w:pPr>
              <w:pStyle w:val="Normal"/>
              <w:spacing w:lineRule="auto" w:line="240" w:before="0" w:after="0"/>
              <w:ind w:left="113" w:right="113" w:hanging="0"/>
              <w:rPr>
                <w:rFonts w:ascii="Times New Roman" w:hAnsi="Times New Roman" w:cs="Times New Roman"/>
              </w:rPr>
            </w:pPr>
            <w:r>
              <w:rPr>
                <w:rFonts w:cs="Times New Roman" w:ascii="Times New Roman" w:hAnsi="Times New Roman"/>
              </w:rPr>
              <w:t>1 ученик</w:t>
            </w:r>
          </w:p>
        </w:tc>
        <w:tc>
          <w:tcPr>
            <w:tcW w:w="614" w:type="dxa"/>
            <w:tcBorders/>
            <w:shd w:fill="auto" w:val="clear"/>
            <w:textDirection w:val="btLr"/>
          </w:tcPr>
          <w:p>
            <w:pPr>
              <w:pStyle w:val="Normal"/>
              <w:spacing w:lineRule="auto" w:line="240" w:before="0" w:after="0"/>
              <w:ind w:left="113" w:right="113" w:hanging="0"/>
              <w:rPr>
                <w:rFonts w:ascii="Times New Roman" w:hAnsi="Times New Roman" w:cs="Times New Roman"/>
              </w:rPr>
            </w:pPr>
            <w:r>
              <w:rPr>
                <w:rFonts w:cs="Times New Roman" w:ascii="Times New Roman" w:hAnsi="Times New Roman"/>
              </w:rPr>
              <w:t>2 ученик</w:t>
            </w:r>
          </w:p>
        </w:tc>
        <w:tc>
          <w:tcPr>
            <w:tcW w:w="614" w:type="dxa"/>
            <w:tcBorders/>
            <w:shd w:fill="auto" w:val="clear"/>
            <w:textDirection w:val="btLr"/>
          </w:tcPr>
          <w:p>
            <w:pPr>
              <w:pStyle w:val="Normal"/>
              <w:spacing w:lineRule="auto" w:line="240" w:before="0" w:after="0"/>
              <w:ind w:left="113" w:right="113" w:hanging="0"/>
              <w:rPr>
                <w:rFonts w:ascii="Times New Roman" w:hAnsi="Times New Roman" w:cs="Times New Roman"/>
              </w:rPr>
            </w:pPr>
            <w:r>
              <w:rPr>
                <w:rFonts w:cs="Times New Roman" w:ascii="Times New Roman" w:hAnsi="Times New Roman"/>
              </w:rPr>
              <w:t>3 ученик</w:t>
            </w:r>
          </w:p>
        </w:tc>
        <w:tc>
          <w:tcPr>
            <w:tcW w:w="614" w:type="dxa"/>
            <w:tcBorders/>
            <w:shd w:fill="auto" w:val="clear"/>
            <w:textDirection w:val="btLr"/>
          </w:tcPr>
          <w:p>
            <w:pPr>
              <w:pStyle w:val="Normal"/>
              <w:spacing w:lineRule="auto" w:line="240" w:before="0" w:after="0"/>
              <w:ind w:left="113" w:right="113" w:hanging="0"/>
              <w:rPr>
                <w:rFonts w:ascii="Times New Roman" w:hAnsi="Times New Roman" w:cs="Times New Roman"/>
              </w:rPr>
            </w:pPr>
            <w:r>
              <w:rPr>
                <w:rFonts w:cs="Times New Roman" w:ascii="Times New Roman" w:hAnsi="Times New Roman"/>
              </w:rPr>
            </w:r>
          </w:p>
        </w:tc>
        <w:tc>
          <w:tcPr>
            <w:tcW w:w="1513" w:type="dxa"/>
            <w:tcBorders/>
            <w:shd w:fill="auto" w:val="clear"/>
            <w:textDirection w:val="btLr"/>
            <w:vAlign w:val="center"/>
          </w:tcPr>
          <w:p>
            <w:pPr>
              <w:pStyle w:val="Normal"/>
              <w:spacing w:lineRule="auto" w:line="240" w:before="0" w:after="0"/>
              <w:ind w:left="113" w:right="113" w:hanging="0"/>
              <w:jc w:val="center"/>
              <w:rPr>
                <w:rFonts w:ascii="Times New Roman" w:hAnsi="Times New Roman" w:cs="Times New Roman"/>
              </w:rPr>
            </w:pPr>
            <w:r>
              <w:rPr>
                <w:rFonts w:cs="Times New Roman" w:ascii="Times New Roman" w:hAnsi="Times New Roman"/>
              </w:rPr>
              <w:t>Средний балл по классу</w:t>
            </w:r>
          </w:p>
        </w:tc>
      </w:tr>
      <w:tr>
        <w:trPr/>
        <w:tc>
          <w:tcPr>
            <w:tcW w:w="7938" w:type="dxa"/>
            <w:gridSpan w:val="6"/>
            <w:tcBorders/>
            <w:shd w:fill="auto" w:val="clear"/>
          </w:tcPr>
          <w:p>
            <w:pPr>
              <w:pStyle w:val="Normal"/>
              <w:spacing w:lineRule="auto" w:line="240" w:before="0" w:after="0"/>
              <w:jc w:val="center"/>
              <w:rPr>
                <w:rFonts w:ascii="Times New Roman" w:hAnsi="Times New Roman" w:cs="Times New Roman"/>
                <w:b/>
                <w:b/>
              </w:rPr>
            </w:pPr>
            <w:r>
              <w:rPr>
                <w:rFonts w:cs="Times New Roman" w:ascii="Times New Roman" w:hAnsi="Times New Roman"/>
                <w:b/>
              </w:rPr>
              <w:t>Личностные УУД</w:t>
            </w:r>
          </w:p>
        </w:tc>
      </w:tr>
      <w:tr>
        <w:trPr/>
        <w:tc>
          <w:tcPr>
            <w:tcW w:w="397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t>Смыслообразование и моральноэтическая ориентация в вопросах:</w:t>
            </w:r>
          </w:p>
          <w:p>
            <w:pPr>
              <w:pStyle w:val="Normal"/>
              <w:spacing w:lineRule="auto" w:line="240" w:before="0" w:after="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1. саморегуляции поведения;</w:t>
            </w:r>
          </w:p>
          <w:p>
            <w:pPr>
              <w:pStyle w:val="Normal"/>
              <w:spacing w:lineRule="auto" w:line="240" w:before="0" w:after="0"/>
              <w:rPr>
                <w:rFonts w:ascii="Times New Roman" w:hAnsi="Times New Roman" w:cs="Times New Roman"/>
              </w:rPr>
            </w:pPr>
            <w:r>
              <w:rPr>
                <w:rFonts w:cs="Times New Roman" w:ascii="Times New Roman" w:hAnsi="Times New Roman"/>
              </w:rPr>
              <w:t>2.  взаимодействия с окружающими;</w:t>
            </w:r>
          </w:p>
          <w:p>
            <w:pPr>
              <w:pStyle w:val="Normal"/>
              <w:spacing w:lineRule="auto" w:line="240" w:before="0" w:after="0"/>
              <w:rPr>
                <w:rFonts w:ascii="Times New Roman" w:hAnsi="Times New Roman" w:cs="Times New Roman"/>
                <w:color w:val="000000"/>
              </w:rPr>
            </w:pPr>
            <w:r>
              <w:rPr>
                <w:rFonts w:cs="Times New Roman" w:ascii="Times New Roman" w:hAnsi="Times New Roman"/>
              </w:rPr>
              <w:t xml:space="preserve"> </w:t>
            </w:r>
            <w:r>
              <w:rPr>
                <w:rFonts w:cs="Times New Roman" w:ascii="Times New Roman" w:hAnsi="Times New Roman"/>
              </w:rPr>
              <w:t>3. здорового образа жизни</w:t>
            </w:r>
          </w:p>
        </w:tc>
        <w:tc>
          <w:tcPr>
            <w:tcW w:w="6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7938" w:type="dxa"/>
            <w:gridSpan w:val="6"/>
            <w:tcBorders/>
            <w:shd w:fill="auto" w:val="clear"/>
          </w:tcPr>
          <w:p>
            <w:pPr>
              <w:pStyle w:val="Normal"/>
              <w:spacing w:lineRule="auto" w:line="240" w:before="0" w:after="0"/>
              <w:jc w:val="center"/>
              <w:rPr>
                <w:rFonts w:ascii="Times New Roman" w:hAnsi="Times New Roman" w:cs="Times New Roman"/>
              </w:rPr>
            </w:pPr>
            <w:r>
              <w:rPr>
                <w:rFonts w:cs="Times New Roman" w:ascii="Times New Roman" w:hAnsi="Times New Roman"/>
                <w:b/>
              </w:rPr>
              <w:t>Регулятивные УУД</w:t>
            </w:r>
          </w:p>
        </w:tc>
      </w:tr>
      <w:tr>
        <w:trPr/>
        <w:tc>
          <w:tcPr>
            <w:tcW w:w="3970" w:type="dxa"/>
            <w:tcBorders/>
            <w:shd w:fill="auto" w:val="clear"/>
          </w:tcPr>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1.Умеет организовы</w:t>
              <w:softHyphen/>
              <w:t>вать свое рабочее ме</w:t>
              <w:softHyphen/>
              <w:t>сто под руководством учителя</w:t>
            </w:r>
          </w:p>
        </w:tc>
        <w:tc>
          <w:tcPr>
            <w:tcW w:w="6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3970" w:type="dxa"/>
            <w:tcBorders/>
            <w:shd w:fill="auto" w:val="clear"/>
          </w:tcPr>
          <w:p>
            <w:pPr>
              <w:pStyle w:val="Normal"/>
              <w:spacing w:lineRule="auto" w:line="240" w:before="0" w:after="0"/>
              <w:jc w:val="both"/>
              <w:rPr>
                <w:rFonts w:ascii="Times New Roman" w:hAnsi="Times New Roman" w:cs="Times New Roman"/>
                <w:b/>
                <w:b/>
              </w:rPr>
            </w:pPr>
            <w:r>
              <w:rPr>
                <w:rFonts w:cs="Times New Roman" w:ascii="Times New Roman" w:hAnsi="Times New Roman"/>
                <w:color w:val="000000"/>
              </w:rPr>
              <w:t>2. Принимает и сохраняет цель выполнения заданий на уроке, во внеуроч</w:t>
              <w:softHyphen/>
              <w:t>ной деятельности, в жизненных ситуациях под руководством учи</w:t>
              <w:softHyphen/>
              <w:t>теля</w:t>
            </w:r>
          </w:p>
        </w:tc>
        <w:tc>
          <w:tcPr>
            <w:tcW w:w="6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3970" w:type="dxa"/>
            <w:tcBorders/>
            <w:shd w:fill="auto" w:val="clear"/>
          </w:tcPr>
          <w:p>
            <w:pPr>
              <w:pStyle w:val="Normal"/>
              <w:spacing w:lineRule="auto" w:line="240" w:before="0" w:after="0"/>
              <w:jc w:val="both"/>
              <w:rPr>
                <w:rFonts w:ascii="Times New Roman" w:hAnsi="Times New Roman" w:cs="Times New Roman"/>
                <w:b/>
                <w:b/>
              </w:rPr>
            </w:pPr>
            <w:r>
              <w:rPr>
                <w:rFonts w:cs="Times New Roman" w:ascii="Times New Roman" w:hAnsi="Times New Roman"/>
                <w:color w:val="000000"/>
              </w:rPr>
              <w:t>3. Проговаривает последовательность действий, опираясь на памятку или предложенный алгоритм</w:t>
            </w:r>
          </w:p>
        </w:tc>
        <w:tc>
          <w:tcPr>
            <w:tcW w:w="6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3970" w:type="dxa"/>
            <w:tcBorders/>
            <w:shd w:fill="auto" w:val="clear"/>
          </w:tcPr>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color w:val="000000"/>
              </w:rPr>
              <w:t>4. Использует в своей деятельности про</w:t>
              <w:softHyphen/>
              <w:t>стейшие приборы: ли</w:t>
              <w:softHyphen/>
              <w:t>нейку и т.д.</w:t>
            </w:r>
          </w:p>
        </w:tc>
        <w:tc>
          <w:tcPr>
            <w:tcW w:w="6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3970" w:type="dxa"/>
            <w:tcBorders/>
            <w:shd w:fill="auto" w:val="clear"/>
          </w:tcPr>
          <w:p>
            <w:pPr>
              <w:pStyle w:val="Normal"/>
              <w:spacing w:lineRule="auto" w:line="240" w:before="0" w:after="0"/>
              <w:jc w:val="both"/>
              <w:rPr>
                <w:rFonts w:ascii="Times New Roman" w:hAnsi="Times New Roman" w:cs="Times New Roman"/>
                <w:color w:val="000000"/>
              </w:rPr>
            </w:pPr>
            <w:r>
              <w:rPr>
                <w:rFonts w:cs="Times New Roman" w:ascii="Times New Roman" w:hAnsi="Times New Roman"/>
                <w:color w:val="000000"/>
              </w:rPr>
              <w:t>5. Оценивает совместно с учителем результат своих действий, вносит соответствующие коррективы</w:t>
            </w:r>
          </w:p>
        </w:tc>
        <w:tc>
          <w:tcPr>
            <w:tcW w:w="6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7938" w:type="dxa"/>
            <w:gridSpan w:val="6"/>
            <w:tcBorders/>
            <w:shd w:fill="auto" w:val="clear"/>
          </w:tcPr>
          <w:p>
            <w:pPr>
              <w:pStyle w:val="Normal"/>
              <w:spacing w:lineRule="auto" w:line="240" w:before="0" w:after="0"/>
              <w:jc w:val="center"/>
              <w:rPr>
                <w:rFonts w:ascii="Times New Roman" w:hAnsi="Times New Roman" w:cs="Times New Roman"/>
              </w:rPr>
            </w:pPr>
            <w:r>
              <w:rPr>
                <w:rFonts w:cs="Times New Roman" w:ascii="Times New Roman" w:hAnsi="Times New Roman"/>
                <w:b/>
                <w:bCs/>
              </w:rPr>
              <w:t>Познавательные УУД</w:t>
            </w:r>
          </w:p>
        </w:tc>
      </w:tr>
      <w:tr>
        <w:trPr/>
        <w:tc>
          <w:tcPr>
            <w:tcW w:w="3970" w:type="dxa"/>
            <w:tcBorders/>
            <w:shd w:fill="auto" w:val="clear"/>
          </w:tcPr>
          <w:p>
            <w:pPr>
              <w:pStyle w:val="Normal"/>
              <w:spacing w:lineRule="auto" w:line="240" w:before="0" w:after="0"/>
              <w:ind w:left="-74" w:hanging="0"/>
              <w:rPr>
                <w:rFonts w:ascii="Times New Roman" w:hAnsi="Times New Roman" w:cs="Times New Roman"/>
                <w:color w:val="000000"/>
              </w:rPr>
            </w:pPr>
            <w:r>
              <w:rPr>
                <w:rFonts w:cs="Times New Roman" w:ascii="Times New Roman" w:hAnsi="Times New Roman"/>
                <w:color w:val="000000"/>
              </w:rPr>
              <w:t>1.Ориентируется в учебнике (на форзацах, страницах, в оглавлении, условных обозначениях)</w:t>
            </w:r>
          </w:p>
        </w:tc>
        <w:tc>
          <w:tcPr>
            <w:tcW w:w="6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3970" w:type="dxa"/>
            <w:tcBorders/>
            <w:shd w:fill="auto" w:val="clear"/>
          </w:tcPr>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2. Осуществляет под руководством учителя поиск нужной информации в учебнике и пособиях</w:t>
            </w:r>
          </w:p>
        </w:tc>
        <w:tc>
          <w:tcPr>
            <w:tcW w:w="6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3970" w:type="dxa"/>
            <w:tcBorders/>
            <w:shd w:fill="auto" w:val="clear"/>
          </w:tcPr>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3. Преобразовывает информацию, полученную из рисунка (таблицы, модели), в словесную форму под руководством учителя</w:t>
            </w:r>
          </w:p>
        </w:tc>
        <w:tc>
          <w:tcPr>
            <w:tcW w:w="6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3970" w:type="dxa"/>
            <w:tcBorders/>
            <w:shd w:fill="auto" w:val="clear"/>
          </w:tcPr>
          <w:p>
            <w:pPr>
              <w:pStyle w:val="Normal"/>
              <w:spacing w:lineRule="auto" w:line="240" w:before="0" w:after="0"/>
              <w:rPr>
                <w:rFonts w:ascii="Times New Roman" w:hAnsi="Times New Roman" w:cs="Times New Roman"/>
                <w:b/>
                <w:b/>
              </w:rPr>
            </w:pPr>
            <w:r>
              <w:rPr>
                <w:rFonts w:cs="Times New Roman" w:ascii="Times New Roman" w:hAnsi="Times New Roman"/>
                <w:color w:val="000000"/>
              </w:rPr>
              <w:t>4. Сравнивает пред</w:t>
              <w:softHyphen/>
              <w:t>меты, объекты: нахо</w:t>
              <w:softHyphen/>
              <w:t>дит общее и различие</w:t>
            </w:r>
          </w:p>
        </w:tc>
        <w:tc>
          <w:tcPr>
            <w:tcW w:w="6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3970" w:type="dxa"/>
            <w:tcBorders/>
            <w:shd w:fill="auto" w:val="clear"/>
          </w:tcPr>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5. Группирует пред</w:t>
              <w:softHyphen/>
              <w:t>меты, объекты на основе существен</w:t>
              <w:softHyphen/>
              <w:t>ных признаков</w:t>
            </w:r>
          </w:p>
        </w:tc>
        <w:tc>
          <w:tcPr>
            <w:tcW w:w="6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3970" w:type="dxa"/>
            <w:tcBorders/>
            <w:shd w:fill="auto" w:val="clear"/>
          </w:tcPr>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color w:val="000000"/>
              </w:rPr>
              <w:t>6. Делает выводы в результате совместной работы класса и учителя</w:t>
            </w:r>
          </w:p>
        </w:tc>
        <w:tc>
          <w:tcPr>
            <w:tcW w:w="6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7938" w:type="dxa"/>
            <w:gridSpan w:val="6"/>
            <w:tcBorders/>
            <w:shd w:fill="auto" w:val="clear"/>
          </w:tcPr>
          <w:p>
            <w:pPr>
              <w:pStyle w:val="Normal"/>
              <w:spacing w:lineRule="auto" w:line="240" w:before="0" w:after="0"/>
              <w:jc w:val="center"/>
              <w:rPr>
                <w:rFonts w:ascii="Times New Roman" w:hAnsi="Times New Roman" w:cs="Times New Roman"/>
              </w:rPr>
            </w:pPr>
            <w:r>
              <w:rPr>
                <w:rFonts w:cs="Times New Roman" w:ascii="Times New Roman" w:hAnsi="Times New Roman"/>
                <w:b/>
                <w:bCs/>
              </w:rPr>
              <w:t>Коммуникативные УУД</w:t>
            </w:r>
          </w:p>
        </w:tc>
      </w:tr>
      <w:tr>
        <w:trPr/>
        <w:tc>
          <w:tcPr>
            <w:tcW w:w="3970" w:type="dxa"/>
            <w:tcBorders/>
            <w:shd w:fill="auto" w:val="clear"/>
          </w:tcPr>
          <w:p>
            <w:pPr>
              <w:pStyle w:val="Default"/>
              <w:spacing w:lineRule="auto" w:line="240" w:before="0" w:after="0"/>
              <w:jc w:val="both"/>
              <w:rPr>
                <w:sz w:val="22"/>
                <w:szCs w:val="22"/>
              </w:rPr>
            </w:pPr>
            <w:r>
              <w:rPr>
                <w:sz w:val="22"/>
                <w:szCs w:val="22"/>
              </w:rPr>
              <w:t>1.</w:t>
            </w:r>
            <w:r>
              <w:rPr/>
              <w:t xml:space="preserve"> </w:t>
            </w:r>
            <w:r>
              <w:rPr>
                <w:sz w:val="22"/>
                <w:szCs w:val="22"/>
              </w:rPr>
              <w:t>Слушает и понимает речь других</w:t>
            </w:r>
            <w:r>
              <w:rPr>
                <w:b/>
                <w:bCs/>
              </w:rPr>
              <w:t xml:space="preserve"> </w:t>
            </w:r>
          </w:p>
        </w:tc>
        <w:tc>
          <w:tcPr>
            <w:tcW w:w="6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3970" w:type="dxa"/>
            <w:tcBorders/>
            <w:shd w:fill="auto" w:val="clear"/>
          </w:tcPr>
          <w:p>
            <w:pPr>
              <w:pStyle w:val="Default"/>
              <w:spacing w:lineRule="auto" w:line="240" w:before="0" w:after="0"/>
              <w:jc w:val="both"/>
              <w:rPr>
                <w:sz w:val="22"/>
                <w:szCs w:val="22"/>
              </w:rPr>
            </w:pPr>
            <w:r>
              <w:rPr>
                <w:sz w:val="22"/>
                <w:szCs w:val="22"/>
              </w:rPr>
              <w:t>2. Оформляет свои мысли в устной и письменной форме (предл. или небольшой текст)</w:t>
            </w:r>
          </w:p>
        </w:tc>
        <w:tc>
          <w:tcPr>
            <w:tcW w:w="6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3970" w:type="dxa"/>
            <w:tcBorders/>
            <w:shd w:fill="auto" w:val="clear"/>
          </w:tcPr>
          <w:p>
            <w:pPr>
              <w:pStyle w:val="Default"/>
              <w:spacing w:lineRule="auto" w:line="240" w:before="0" w:after="0"/>
              <w:jc w:val="both"/>
              <w:rPr>
                <w:sz w:val="22"/>
                <w:szCs w:val="22"/>
              </w:rPr>
            </w:pPr>
            <w:r>
              <w:rPr>
                <w:sz w:val="22"/>
                <w:szCs w:val="22"/>
              </w:rPr>
              <w:t xml:space="preserve">2. Участвует в диалоге на уроке и в жизненных ситуациях. </w:t>
            </w:r>
          </w:p>
        </w:tc>
        <w:tc>
          <w:tcPr>
            <w:tcW w:w="6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3970" w:type="dxa"/>
            <w:tcBorders/>
            <w:shd w:fill="auto" w:val="clear"/>
          </w:tcPr>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color w:val="000000"/>
              </w:rPr>
              <w:t xml:space="preserve">3. </w:t>
            </w:r>
            <w:r>
              <w:rPr>
                <w:rFonts w:cs="Times New Roman" w:ascii="Times New Roman" w:hAnsi="Times New Roman"/>
              </w:rPr>
              <w:t>Отвечает на вопросы учителя, товарищей по классу, задает вопросы</w:t>
            </w:r>
          </w:p>
        </w:tc>
        <w:tc>
          <w:tcPr>
            <w:tcW w:w="6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3970" w:type="dxa"/>
            <w:tcBorders/>
            <w:shd w:fill="auto" w:val="clear"/>
          </w:tcPr>
          <w:p>
            <w:pPr>
              <w:pStyle w:val="Normal"/>
              <w:spacing w:lineRule="auto" w:line="240" w:before="0" w:after="0"/>
              <w:jc w:val="both"/>
              <w:rPr>
                <w:rFonts w:ascii="Times New Roman" w:hAnsi="Times New Roman" w:cs="Times New Roman"/>
                <w:b/>
                <w:b/>
              </w:rPr>
            </w:pPr>
            <w:r>
              <w:rPr>
                <w:rFonts w:cs="Times New Roman" w:ascii="Times New Roman" w:hAnsi="Times New Roman"/>
                <w:color w:val="000000"/>
              </w:rPr>
              <w:t>4. Соблюдает простейшие нормы речевого этикета: здороваться, прощаться, благодарить</w:t>
            </w:r>
          </w:p>
        </w:tc>
        <w:tc>
          <w:tcPr>
            <w:tcW w:w="6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3970" w:type="dxa"/>
            <w:tcBorders/>
            <w:shd w:fill="auto" w:val="clear"/>
          </w:tcPr>
          <w:p>
            <w:pPr>
              <w:pStyle w:val="Normal"/>
              <w:spacing w:lineRule="auto" w:line="240" w:before="0" w:after="0"/>
              <w:jc w:val="both"/>
              <w:rPr>
                <w:rFonts w:ascii="Times New Roman" w:hAnsi="Times New Roman" w:cs="Times New Roman"/>
              </w:rPr>
            </w:pPr>
            <w:r>
              <w:rPr>
                <w:rFonts w:cs="Times New Roman" w:ascii="Times New Roman" w:hAnsi="Times New Roman"/>
                <w:color w:val="000000"/>
              </w:rPr>
              <w:t>5. Участвует (Умеет работать) в паре (в группе)</w:t>
            </w:r>
          </w:p>
        </w:tc>
        <w:tc>
          <w:tcPr>
            <w:tcW w:w="6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61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3"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r>
    </w:tbl>
    <w:p>
      <w:pPr>
        <w:pStyle w:val="Normal"/>
        <w:spacing w:lineRule="auto" w:line="240" w:before="0" w:after="0"/>
        <w:jc w:val="center"/>
        <w:rPr>
          <w:rFonts w:ascii="Times New Roman" w:hAnsi="Times New Roman" w:cs="Times New Roman"/>
          <w:b/>
          <w:b/>
          <w:sz w:val="26"/>
          <w:szCs w:val="26"/>
        </w:rPr>
      </w:pPr>
      <w:r>
        <w:rPr>
          <w:rFonts w:cs="Times New Roman" w:ascii="Times New Roman" w:hAnsi="Times New Roman"/>
          <w:b/>
          <w:sz w:val="26"/>
          <w:szCs w:val="26"/>
        </w:rPr>
      </w:r>
    </w:p>
    <w:p>
      <w:pPr>
        <w:pStyle w:val="Normal"/>
        <w:spacing w:lineRule="auto" w:line="240" w:before="0" w:after="0"/>
        <w:jc w:val="center"/>
        <w:rPr>
          <w:rFonts w:ascii="Times New Roman" w:hAnsi="Times New Roman" w:cs="Times New Roman"/>
          <w:b/>
          <w:b/>
          <w:sz w:val="26"/>
          <w:szCs w:val="26"/>
        </w:rPr>
      </w:pPr>
      <w:r>
        <w:rPr>
          <w:rFonts w:cs="Times New Roman" w:ascii="Times New Roman" w:hAnsi="Times New Roman"/>
          <w:b/>
          <w:sz w:val="26"/>
          <w:szCs w:val="26"/>
        </w:rPr>
        <w:t xml:space="preserve">Таблица предметных навыков обучающихся </w:t>
      </w:r>
    </w:p>
    <w:p>
      <w:pPr>
        <w:pStyle w:val="Normal"/>
        <w:spacing w:lineRule="auto" w:line="240" w:before="0" w:after="0"/>
        <w:jc w:val="center"/>
        <w:rPr>
          <w:rFonts w:ascii="Times New Roman" w:hAnsi="Times New Roman" w:cs="Times New Roman"/>
          <w:b/>
          <w:b/>
          <w:sz w:val="26"/>
          <w:szCs w:val="26"/>
        </w:rPr>
      </w:pPr>
      <w:r>
        <w:rPr>
          <w:rFonts w:cs="Times New Roman" w:ascii="Times New Roman" w:hAnsi="Times New Roman"/>
          <w:b/>
          <w:sz w:val="26"/>
          <w:szCs w:val="26"/>
        </w:rPr>
        <w:t>начального общего образования</w:t>
      </w:r>
    </w:p>
    <w:p>
      <w:pPr>
        <w:pStyle w:val="Normal"/>
        <w:spacing w:lineRule="auto" w:line="240" w:before="0" w:after="0"/>
        <w:jc w:val="center"/>
        <w:rPr>
          <w:rFonts w:ascii="Times New Roman" w:hAnsi="Times New Roman" w:cs="Times New Roman"/>
          <w:b/>
          <w:b/>
          <w:sz w:val="26"/>
          <w:szCs w:val="26"/>
        </w:rPr>
      </w:pPr>
      <w:r>
        <w:rPr>
          <w:rFonts w:cs="Times New Roman" w:ascii="Times New Roman" w:hAnsi="Times New Roman"/>
          <w:b/>
          <w:sz w:val="26"/>
          <w:szCs w:val="26"/>
        </w:rPr>
        <w:t>20__-__ учебный год, учитель _________________</w:t>
      </w:r>
    </w:p>
    <w:p>
      <w:pPr>
        <w:pStyle w:val="Normal"/>
        <w:spacing w:lineRule="auto" w:line="240" w:before="0" w:after="0"/>
        <w:jc w:val="both"/>
        <w:rPr>
          <w:rFonts w:ascii="Times New Roman" w:hAnsi="Times New Roman" w:cs="Times New Roman"/>
        </w:rPr>
      </w:pPr>
      <w:r>
        <w:rPr>
          <w:rFonts w:cs="Times New Roman" w:ascii="Times New Roman" w:hAnsi="Times New Roman"/>
        </w:rPr>
        <w:t>2 балла – знает, умеет; 1 балл – частично знает, умеет; 0 баллов – не владеет, не знает, не умеет</w:t>
      </w:r>
    </w:p>
    <w:tbl>
      <w:tblPr>
        <w:tblStyle w:val="a7"/>
        <w:tblW w:w="9745" w:type="dxa"/>
        <w:jc w:val="left"/>
        <w:tblInd w:w="-423" w:type="dxa"/>
        <w:tblCellMar>
          <w:top w:w="0" w:type="dxa"/>
          <w:left w:w="108" w:type="dxa"/>
          <w:bottom w:w="0" w:type="dxa"/>
          <w:right w:w="108" w:type="dxa"/>
        </w:tblCellMar>
        <w:tblLook w:val="04a0"/>
      </w:tblPr>
      <w:tblGrid>
        <w:gridCol w:w="3260"/>
        <w:gridCol w:w="661"/>
        <w:gridCol w:w="662"/>
        <w:gridCol w:w="660"/>
        <w:gridCol w:w="662"/>
        <w:gridCol w:w="3839"/>
      </w:tblGrid>
      <w:tr>
        <w:trPr>
          <w:trHeight w:val="1134" w:hRule="exact"/>
          <w:cantSplit w:val="true"/>
        </w:trPr>
        <w:tc>
          <w:tcPr>
            <w:tcW w:w="326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Учебные навыки, сформированные к концу ______</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661" w:type="dxa"/>
            <w:tcBorders/>
            <w:shd w:fill="auto" w:val="clear"/>
            <w:textDirection w:val="btLr"/>
          </w:tcPr>
          <w:p>
            <w:pPr>
              <w:pStyle w:val="Normal"/>
              <w:spacing w:lineRule="auto" w:line="240" w:before="0" w:after="0"/>
              <w:ind w:left="113" w:right="113" w:hanging="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extDirection w:val="btLr"/>
          </w:tcPr>
          <w:p>
            <w:pPr>
              <w:pStyle w:val="Normal"/>
              <w:spacing w:lineRule="auto" w:line="240" w:before="0" w:after="0"/>
              <w:ind w:left="113" w:right="113" w:hanging="0"/>
              <w:rPr>
                <w:rFonts w:ascii="Times New Roman" w:hAnsi="Times New Roman" w:cs="Times New Roman"/>
                <w:sz w:val="24"/>
                <w:szCs w:val="24"/>
              </w:rPr>
            </w:pPr>
            <w:r>
              <w:rPr>
                <w:rFonts w:cs="Times New Roman" w:ascii="Times New Roman" w:hAnsi="Times New Roman"/>
                <w:sz w:val="24"/>
                <w:szCs w:val="24"/>
              </w:rPr>
            </w:r>
          </w:p>
        </w:tc>
        <w:tc>
          <w:tcPr>
            <w:tcW w:w="660" w:type="dxa"/>
            <w:tcBorders/>
            <w:shd w:fill="auto" w:val="clear"/>
            <w:textDirection w:val="btLr"/>
          </w:tcPr>
          <w:p>
            <w:pPr>
              <w:pStyle w:val="Normal"/>
              <w:spacing w:lineRule="auto" w:line="240" w:before="0" w:after="0"/>
              <w:ind w:left="113" w:right="113" w:hanging="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extDirection w:val="btLr"/>
          </w:tcPr>
          <w:p>
            <w:pPr>
              <w:pStyle w:val="Normal"/>
              <w:spacing w:lineRule="auto" w:line="240" w:before="0" w:after="0"/>
              <w:ind w:left="113" w:right="113" w:hanging="0"/>
              <w:rPr>
                <w:rFonts w:ascii="Times New Roman" w:hAnsi="Times New Roman" w:cs="Times New Roman"/>
                <w:sz w:val="24"/>
                <w:szCs w:val="24"/>
              </w:rPr>
            </w:pPr>
            <w:r>
              <w:rPr>
                <w:rFonts w:cs="Times New Roman" w:ascii="Times New Roman" w:hAnsi="Times New Roman"/>
                <w:sz w:val="24"/>
                <w:szCs w:val="24"/>
              </w:rPr>
            </w:r>
          </w:p>
        </w:tc>
        <w:tc>
          <w:tcPr>
            <w:tcW w:w="3839" w:type="dxa"/>
            <w:tcBorders/>
            <w:shd w:fill="auto" w:val="clear"/>
            <w:textDirection w:val="btLr"/>
          </w:tcPr>
          <w:p>
            <w:pPr>
              <w:pStyle w:val="Normal"/>
              <w:spacing w:lineRule="auto" w:line="240" w:before="0" w:after="0"/>
              <w:ind w:left="113" w:right="113" w:hanging="0"/>
              <w:rPr>
                <w:rFonts w:ascii="Times New Roman" w:hAnsi="Times New Roman" w:cs="Times New Roman"/>
              </w:rPr>
            </w:pPr>
            <w:r>
              <w:rPr>
                <w:rFonts w:cs="Times New Roman" w:ascii="Times New Roman" w:hAnsi="Times New Roman"/>
              </w:rPr>
              <w:t>Средний балл по классу</w:t>
            </w:r>
          </w:p>
        </w:tc>
      </w:tr>
      <w:tr>
        <w:trPr/>
        <w:tc>
          <w:tcPr>
            <w:tcW w:w="9744" w:type="dxa"/>
            <w:gridSpan w:val="6"/>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Литературное чтение</w:t>
            </w:r>
          </w:p>
        </w:tc>
      </w:tr>
      <w:tr>
        <w:trPr/>
        <w:tc>
          <w:tcPr>
            <w:tcW w:w="326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t xml:space="preserve">Осознанность </w:t>
            </w:r>
          </w:p>
        </w:tc>
        <w:tc>
          <w:tcPr>
            <w:tcW w:w="66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3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t xml:space="preserve">Правильность </w:t>
            </w:r>
          </w:p>
        </w:tc>
        <w:tc>
          <w:tcPr>
            <w:tcW w:w="66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3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t>Выразительность</w:t>
            </w:r>
          </w:p>
        </w:tc>
        <w:tc>
          <w:tcPr>
            <w:tcW w:w="66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3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t xml:space="preserve">Скорость </w:t>
            </w:r>
          </w:p>
        </w:tc>
        <w:tc>
          <w:tcPr>
            <w:tcW w:w="66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3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9744" w:type="dxa"/>
            <w:gridSpan w:val="6"/>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Русский язык</w:t>
            </w:r>
          </w:p>
        </w:tc>
      </w:tr>
      <w:tr>
        <w:trPr/>
        <w:tc>
          <w:tcPr>
            <w:tcW w:w="326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t xml:space="preserve">Каллиграфия </w:t>
            </w:r>
          </w:p>
        </w:tc>
        <w:tc>
          <w:tcPr>
            <w:tcW w:w="66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3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shd w:fill="auto" w:val="clear"/>
          </w:tcPr>
          <w:p>
            <w:pPr>
              <w:pStyle w:val="Normal"/>
              <w:spacing w:lineRule="auto" w:line="240" w:before="0" w:after="0"/>
              <w:rPr>
                <w:rFonts w:ascii="Times New Roman" w:hAnsi="Times New Roman" w:cs="Times New Roman"/>
                <w:b/>
                <w:b/>
              </w:rPr>
            </w:pPr>
            <w:r>
              <w:rPr>
                <w:rFonts w:cs="Times New Roman" w:ascii="Times New Roman" w:hAnsi="Times New Roman"/>
              </w:rPr>
              <w:t>Орфография (жи-ши, ча-ща, чу-щу, загл. буква в нач. предл. и в им. собств., знаки конца предл.)</w:t>
            </w:r>
          </w:p>
        </w:tc>
        <w:tc>
          <w:tcPr>
            <w:tcW w:w="66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3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shd w:fill="auto" w:val="clear"/>
          </w:tcPr>
          <w:p>
            <w:pPr>
              <w:pStyle w:val="Normal"/>
              <w:spacing w:lineRule="auto" w:line="240" w:before="0" w:after="0"/>
              <w:rPr>
                <w:rFonts w:ascii="Times New Roman" w:hAnsi="Times New Roman" w:cs="Times New Roman"/>
                <w:b/>
                <w:b/>
              </w:rPr>
            </w:pPr>
            <w:r>
              <w:rPr>
                <w:rFonts w:cs="Times New Roman" w:ascii="Times New Roman" w:hAnsi="Times New Roman"/>
              </w:rPr>
              <w:t xml:space="preserve">Развитие устной речи        </w:t>
            </w:r>
          </w:p>
        </w:tc>
        <w:tc>
          <w:tcPr>
            <w:tcW w:w="66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3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9744" w:type="dxa"/>
            <w:gridSpan w:val="6"/>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Математика </w:t>
            </w:r>
          </w:p>
        </w:tc>
      </w:tr>
      <w:tr>
        <w:trPr/>
        <w:tc>
          <w:tcPr>
            <w:tcW w:w="3260" w:type="dxa"/>
            <w:tcBorders/>
            <w:shd w:fill="auto" w:val="clear"/>
          </w:tcPr>
          <w:p>
            <w:pPr>
              <w:pStyle w:val="Normal"/>
              <w:spacing w:lineRule="auto" w:line="240" w:before="0" w:after="0"/>
              <w:rPr>
                <w:rFonts w:ascii="Times New Roman" w:hAnsi="Times New Roman" w:cs="Times New Roman"/>
                <w:b/>
                <w:b/>
              </w:rPr>
            </w:pPr>
            <w:r>
              <w:rPr>
                <w:rFonts w:cs="Times New Roman" w:ascii="Times New Roman" w:hAnsi="Times New Roman"/>
              </w:rPr>
              <w:t xml:space="preserve">Устные вычислительные навыки (сложение и вычитание в пределах 20)       </w:t>
            </w:r>
          </w:p>
        </w:tc>
        <w:tc>
          <w:tcPr>
            <w:tcW w:w="66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3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shd w:fill="auto" w:val="clear"/>
          </w:tcPr>
          <w:p>
            <w:pPr>
              <w:pStyle w:val="Normal"/>
              <w:spacing w:lineRule="auto" w:line="240" w:before="0" w:after="0"/>
              <w:rPr>
                <w:rFonts w:ascii="Times New Roman" w:hAnsi="Times New Roman" w:cs="Times New Roman"/>
                <w:b/>
                <w:b/>
              </w:rPr>
            </w:pPr>
            <w:r>
              <w:rPr>
                <w:rFonts w:cs="Times New Roman" w:ascii="Times New Roman" w:hAnsi="Times New Roman"/>
              </w:rPr>
              <w:t xml:space="preserve">Решение задач                     </w:t>
            </w:r>
          </w:p>
        </w:tc>
        <w:tc>
          <w:tcPr>
            <w:tcW w:w="66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3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t>Сравнение чисел и величин</w:t>
            </w:r>
          </w:p>
        </w:tc>
        <w:tc>
          <w:tcPr>
            <w:tcW w:w="66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3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shd w:fill="auto" w:val="clear"/>
          </w:tcPr>
          <w:p>
            <w:pPr>
              <w:pStyle w:val="Normal"/>
              <w:spacing w:lineRule="auto" w:line="240" w:before="0" w:after="0"/>
              <w:rPr>
                <w:rFonts w:ascii="Times New Roman" w:hAnsi="Times New Roman" w:cs="Times New Roman"/>
                <w:b/>
                <w:b/>
              </w:rPr>
            </w:pPr>
            <w:r>
              <w:rPr>
                <w:rFonts w:cs="Times New Roman" w:ascii="Times New Roman" w:hAnsi="Times New Roman"/>
              </w:rPr>
              <w:t xml:space="preserve">Геометрический материал  </w:t>
            </w:r>
          </w:p>
        </w:tc>
        <w:tc>
          <w:tcPr>
            <w:tcW w:w="66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3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9744" w:type="dxa"/>
            <w:gridSpan w:val="6"/>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Ознакомление с окружающим миром</w:t>
            </w:r>
          </w:p>
        </w:tc>
      </w:tr>
      <w:tr>
        <w:trPr/>
        <w:tc>
          <w:tcPr>
            <w:tcW w:w="3260" w:type="dxa"/>
            <w:tcBorders/>
            <w:shd w:fill="auto" w:val="clear"/>
          </w:tcPr>
          <w:p>
            <w:pPr>
              <w:pStyle w:val="Normal"/>
              <w:spacing w:lineRule="auto" w:line="240" w:before="0" w:after="0"/>
              <w:rPr>
                <w:rFonts w:ascii="Times New Roman" w:hAnsi="Times New Roman" w:cs="Times New Roman"/>
                <w:b/>
                <w:b/>
              </w:rPr>
            </w:pPr>
            <w:r>
              <w:rPr>
                <w:rFonts w:cs="Times New Roman" w:ascii="Times New Roman" w:hAnsi="Times New Roman"/>
              </w:rPr>
              <w:t xml:space="preserve">Называет окружающие предметы и их взаимосвязи  </w:t>
            </w:r>
          </w:p>
        </w:tc>
        <w:tc>
          <w:tcPr>
            <w:tcW w:w="66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3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shd w:fill="auto" w:val="clear"/>
          </w:tcPr>
          <w:p>
            <w:pPr>
              <w:pStyle w:val="Normal"/>
              <w:spacing w:lineRule="auto" w:line="240" w:before="0" w:after="0"/>
              <w:rPr>
                <w:rFonts w:ascii="Times New Roman" w:hAnsi="Times New Roman" w:cs="Times New Roman"/>
                <w:b/>
                <w:b/>
              </w:rPr>
            </w:pPr>
            <w:r>
              <w:rPr>
                <w:rFonts w:cs="Times New Roman" w:ascii="Times New Roman" w:hAnsi="Times New Roman"/>
              </w:rPr>
              <w:t xml:space="preserve">Называет основные особенности каждого времени года                                   </w:t>
            </w:r>
          </w:p>
        </w:tc>
        <w:tc>
          <w:tcPr>
            <w:tcW w:w="66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3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shd w:fill="auto" w:val="clear"/>
          </w:tcPr>
          <w:p>
            <w:pPr>
              <w:pStyle w:val="Normal"/>
              <w:spacing w:lineRule="auto" w:line="240" w:before="0" w:after="0"/>
              <w:rPr>
                <w:rFonts w:ascii="Times New Roman" w:hAnsi="Times New Roman" w:cs="Times New Roman"/>
                <w:b/>
                <w:b/>
              </w:rPr>
            </w:pPr>
            <w:r>
              <w:rPr>
                <w:rFonts w:cs="Times New Roman" w:ascii="Times New Roman" w:hAnsi="Times New Roman"/>
              </w:rPr>
              <w:t xml:space="preserve">Оценивает правильность поведения людей в природе             </w:t>
            </w:r>
          </w:p>
        </w:tc>
        <w:tc>
          <w:tcPr>
            <w:tcW w:w="66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3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t xml:space="preserve">Оценивает правильность поведения людей в быту  </w:t>
            </w:r>
          </w:p>
        </w:tc>
        <w:tc>
          <w:tcPr>
            <w:tcW w:w="66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3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9744" w:type="dxa"/>
            <w:gridSpan w:val="6"/>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Развитие познавательных мотивов и активности обучающихся</w:t>
            </w:r>
          </w:p>
        </w:tc>
      </w:tr>
      <w:tr>
        <w:trPr/>
        <w:tc>
          <w:tcPr>
            <w:tcW w:w="3260" w:type="dxa"/>
            <w:tcBorders/>
            <w:shd w:fill="auto" w:val="clear"/>
          </w:tcPr>
          <w:p>
            <w:pPr>
              <w:pStyle w:val="Normal"/>
              <w:spacing w:lineRule="auto" w:line="240" w:before="0" w:after="0"/>
              <w:rPr>
                <w:rFonts w:ascii="Times New Roman" w:hAnsi="Times New Roman" w:cs="Times New Roman"/>
                <w:b/>
                <w:b/>
              </w:rPr>
            </w:pPr>
            <w:r>
              <w:rPr>
                <w:rFonts w:cs="Times New Roman" w:ascii="Times New Roman" w:hAnsi="Times New Roman"/>
              </w:rPr>
              <w:t xml:space="preserve">Общественная активность  </w:t>
            </w:r>
          </w:p>
        </w:tc>
        <w:tc>
          <w:tcPr>
            <w:tcW w:w="66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3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shd w:fill="auto" w:val="clear"/>
          </w:tcPr>
          <w:p>
            <w:pPr>
              <w:pStyle w:val="Normal"/>
              <w:spacing w:lineRule="auto" w:line="240" w:before="0" w:after="0"/>
              <w:rPr>
                <w:rFonts w:ascii="Times New Roman" w:hAnsi="Times New Roman" w:cs="Times New Roman"/>
                <w:b/>
                <w:b/>
              </w:rPr>
            </w:pPr>
            <w:r>
              <w:rPr>
                <w:rFonts w:cs="Times New Roman" w:ascii="Times New Roman" w:hAnsi="Times New Roman"/>
              </w:rPr>
              <w:t xml:space="preserve">Отношение к учению          </w:t>
            </w:r>
          </w:p>
        </w:tc>
        <w:tc>
          <w:tcPr>
            <w:tcW w:w="66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3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 xml:space="preserve">Высокий уровень                         обучаемости                      </w:t>
            </w:r>
          </w:p>
        </w:tc>
        <w:tc>
          <w:tcPr>
            <w:tcW w:w="66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3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 xml:space="preserve">Выше среднего уровня    </w:t>
            </w:r>
          </w:p>
        </w:tc>
        <w:tc>
          <w:tcPr>
            <w:tcW w:w="66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3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Средний уровень обучаемости</w:t>
            </w:r>
          </w:p>
        </w:tc>
        <w:tc>
          <w:tcPr>
            <w:tcW w:w="66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3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 xml:space="preserve">Низкий уровень обучаемости и развития                         </w:t>
            </w:r>
          </w:p>
        </w:tc>
        <w:tc>
          <w:tcPr>
            <w:tcW w:w="66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62"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3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bl>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jc w:val="right"/>
        <w:rPr>
          <w:rFonts w:ascii="Times New Roman" w:hAnsi="Times New Roman" w:cs="Times New Roman"/>
          <w:b/>
          <w:b/>
          <w:sz w:val="28"/>
          <w:szCs w:val="28"/>
        </w:rPr>
      </w:pPr>
      <w:r>
        <w:rPr>
          <w:rFonts w:cs="Times New Roman" w:ascii="Times New Roman" w:hAnsi="Times New Roman"/>
          <w:b/>
          <w:sz w:val="28"/>
          <w:szCs w:val="28"/>
        </w:rPr>
      </w:r>
    </w:p>
    <w:p>
      <w:pPr>
        <w:pStyle w:val="Normal"/>
        <w:jc w:val="right"/>
        <w:rPr>
          <w:rFonts w:ascii="Times New Roman" w:hAnsi="Times New Roman" w:cs="Times New Roman"/>
          <w:b/>
          <w:b/>
          <w:sz w:val="28"/>
          <w:szCs w:val="28"/>
        </w:rPr>
      </w:pPr>
      <w:r>
        <w:rPr>
          <w:rFonts w:cs="Times New Roman" w:ascii="Times New Roman" w:hAnsi="Times New Roman"/>
          <w:b/>
          <w:sz w:val="28"/>
          <w:szCs w:val="28"/>
        </w:rPr>
      </w:r>
    </w:p>
    <w:p>
      <w:pPr>
        <w:pStyle w:val="Normal"/>
        <w:jc w:val="right"/>
        <w:rPr>
          <w:rFonts w:ascii="Times New Roman" w:hAnsi="Times New Roman" w:cs="Times New Roman"/>
          <w:b/>
          <w:b/>
          <w:sz w:val="28"/>
          <w:szCs w:val="28"/>
        </w:rPr>
      </w:pPr>
      <w:r>
        <w:rPr>
          <w:rFonts w:cs="Times New Roman" w:ascii="Times New Roman" w:hAnsi="Times New Roman"/>
          <w:b/>
          <w:sz w:val="28"/>
          <w:szCs w:val="28"/>
        </w:rPr>
      </w:r>
    </w:p>
    <w:p>
      <w:pPr>
        <w:pStyle w:val="Normal"/>
        <w:jc w:val="right"/>
        <w:rPr>
          <w:rFonts w:ascii="Times New Roman" w:hAnsi="Times New Roman" w:cs="Times New Roman"/>
          <w:b/>
          <w:b/>
          <w:sz w:val="28"/>
          <w:szCs w:val="28"/>
        </w:rPr>
      </w:pPr>
      <w:r>
        <w:rPr>
          <w:rFonts w:cs="Times New Roman" w:ascii="Times New Roman" w:hAnsi="Times New Roman"/>
          <w:b/>
          <w:sz w:val="28"/>
          <w:szCs w:val="28"/>
        </w:rPr>
      </w:r>
    </w:p>
    <w:p>
      <w:pPr>
        <w:pStyle w:val="Normal"/>
        <w:jc w:val="right"/>
        <w:rPr>
          <w:rFonts w:ascii="Times New Roman" w:hAnsi="Times New Roman" w:cs="Times New Roman"/>
          <w:b/>
          <w:b/>
          <w:sz w:val="28"/>
          <w:szCs w:val="28"/>
        </w:rPr>
      </w:pPr>
      <w:r>
        <w:rPr>
          <w:rFonts w:cs="Times New Roman" w:ascii="Times New Roman" w:hAnsi="Times New Roman"/>
          <w:b/>
          <w:sz w:val="28"/>
          <w:szCs w:val="28"/>
        </w:rPr>
      </w:r>
    </w:p>
    <w:p>
      <w:pPr>
        <w:pStyle w:val="Normal"/>
        <w:jc w:val="right"/>
        <w:rPr>
          <w:rFonts w:ascii="Times New Roman" w:hAnsi="Times New Roman" w:cs="Times New Roman"/>
          <w:b/>
          <w:b/>
          <w:sz w:val="28"/>
          <w:szCs w:val="28"/>
        </w:rPr>
      </w:pPr>
      <w:r>
        <w:rPr>
          <w:rFonts w:cs="Times New Roman" w:ascii="Times New Roman" w:hAnsi="Times New Roman"/>
          <w:b/>
          <w:sz w:val="28"/>
          <w:szCs w:val="28"/>
        </w:rPr>
      </w:r>
    </w:p>
    <w:p>
      <w:pPr>
        <w:pStyle w:val="Normal"/>
        <w:jc w:val="right"/>
        <w:rPr>
          <w:rFonts w:ascii="Times New Roman" w:hAnsi="Times New Roman" w:cs="Times New Roman"/>
          <w:b/>
          <w:b/>
          <w:sz w:val="28"/>
          <w:szCs w:val="28"/>
        </w:rPr>
      </w:pPr>
      <w:r>
        <w:rPr>
          <w:rFonts w:cs="Times New Roman" w:ascii="Times New Roman" w:hAnsi="Times New Roman"/>
          <w:b/>
          <w:sz w:val="28"/>
          <w:szCs w:val="28"/>
        </w:rPr>
      </w:r>
    </w:p>
    <w:p>
      <w:pPr>
        <w:pStyle w:val="Normal"/>
        <w:jc w:val="right"/>
        <w:rPr>
          <w:rFonts w:ascii="Times New Roman" w:hAnsi="Times New Roman" w:cs="Times New Roman"/>
          <w:b/>
          <w:b/>
          <w:sz w:val="28"/>
          <w:szCs w:val="28"/>
        </w:rPr>
      </w:pPr>
      <w:r>
        <w:rPr>
          <w:rFonts w:cs="Times New Roman" w:ascii="Times New Roman" w:hAnsi="Times New Roman"/>
          <w:b/>
          <w:sz w:val="28"/>
          <w:szCs w:val="28"/>
        </w:rPr>
      </w:r>
    </w:p>
    <w:p>
      <w:pPr>
        <w:pStyle w:val="Normal"/>
        <w:jc w:val="right"/>
        <w:rPr>
          <w:rFonts w:ascii="Times New Roman" w:hAnsi="Times New Roman" w:cs="Times New Roman"/>
          <w:b/>
          <w:b/>
          <w:sz w:val="28"/>
          <w:szCs w:val="28"/>
        </w:rPr>
      </w:pPr>
      <w:r>
        <w:rPr>
          <w:rFonts w:cs="Times New Roman" w:ascii="Times New Roman" w:hAnsi="Times New Roman"/>
          <w:b/>
          <w:sz w:val="28"/>
          <w:szCs w:val="28"/>
        </w:rPr>
      </w:r>
    </w:p>
    <w:p>
      <w:pPr>
        <w:pStyle w:val="Normal"/>
        <w:jc w:val="right"/>
        <w:rPr>
          <w:rFonts w:ascii="Times New Roman" w:hAnsi="Times New Roman" w:cs="Times New Roman"/>
          <w:b/>
          <w:b/>
          <w:sz w:val="28"/>
          <w:szCs w:val="28"/>
        </w:rPr>
      </w:pPr>
      <w:r>
        <w:rPr>
          <w:rFonts w:cs="Times New Roman" w:ascii="Times New Roman" w:hAnsi="Times New Roman"/>
          <w:b/>
          <w:sz w:val="28"/>
          <w:szCs w:val="28"/>
        </w:rPr>
      </w:r>
    </w:p>
    <w:p>
      <w:pPr>
        <w:sectPr>
          <w:type w:val="nextPage"/>
          <w:pgSz w:w="11906" w:h="16838"/>
          <w:pgMar w:left="1701" w:right="850" w:header="0" w:top="1134" w:footer="0" w:bottom="1134" w:gutter="0"/>
          <w:pgNumType w:fmt="decimal"/>
          <w:formProt w:val="false"/>
          <w:textDirection w:val="lrTb"/>
          <w:docGrid w:type="default" w:linePitch="360" w:charSpace="4096"/>
        </w:sectPr>
        <w:pStyle w:val="Normal"/>
        <w:jc w:val="right"/>
        <w:rPr>
          <w:rFonts w:ascii="Times New Roman" w:hAnsi="Times New Roman" w:cs="Times New Roman"/>
          <w:b/>
          <w:b/>
          <w:sz w:val="28"/>
          <w:szCs w:val="28"/>
        </w:rPr>
      </w:pPr>
      <w:r>
        <w:rPr>
          <w:rFonts w:cs="Times New Roman" w:ascii="Times New Roman" w:hAnsi="Times New Roman"/>
          <w:b/>
          <w:sz w:val="28"/>
          <w:szCs w:val="28"/>
        </w:rPr>
      </w:r>
    </w:p>
    <w:p>
      <w:pPr>
        <w:pStyle w:val="Normal"/>
        <w:jc w:val="right"/>
        <w:rPr>
          <w:rFonts w:ascii="Times New Roman" w:hAnsi="Times New Roman" w:cs="Times New Roman"/>
          <w:b/>
          <w:b/>
          <w:sz w:val="28"/>
          <w:szCs w:val="28"/>
        </w:rPr>
      </w:pPr>
      <w:r>
        <w:rPr>
          <w:rFonts w:cs="Times New Roman" w:ascii="Times New Roman" w:hAnsi="Times New Roman"/>
          <w:b/>
          <w:sz w:val="28"/>
          <w:szCs w:val="28"/>
        </w:rPr>
        <w:t>Приложение 7</w:t>
      </w:r>
    </w:p>
    <w:p>
      <w:pPr>
        <w:pStyle w:val="Normal"/>
        <w:jc w:val="center"/>
        <w:rPr>
          <w:rFonts w:ascii="Times New Roman" w:hAnsi="Times New Roman" w:cs="Times New Roman"/>
          <w:b/>
          <w:b/>
          <w:sz w:val="28"/>
          <w:szCs w:val="28"/>
        </w:rPr>
      </w:pPr>
      <w:r>
        <w:rPr>
          <w:rFonts w:cs="Times New Roman" w:ascii="Times New Roman" w:hAnsi="Times New Roman"/>
          <w:b/>
          <w:sz w:val="28"/>
          <w:szCs w:val="28"/>
        </w:rPr>
        <w:t>Мониторинг личностного развития обучающихся</w:t>
      </w:r>
    </w:p>
    <w:p>
      <w:pPr>
        <w:pStyle w:val="Normal"/>
        <w:jc w:val="center"/>
        <w:rPr>
          <w:rFonts w:ascii="Times New Roman" w:hAnsi="Times New Roman" w:cs="Times New Roman"/>
          <w:b/>
          <w:b/>
          <w:sz w:val="28"/>
          <w:szCs w:val="28"/>
        </w:rPr>
      </w:pPr>
      <w:r>
        <w:rPr>
          <w:rFonts w:cs="Times New Roman" w:ascii="Times New Roman" w:hAnsi="Times New Roman"/>
          <w:b/>
          <w:sz w:val="28"/>
          <w:szCs w:val="28"/>
        </w:rPr>
      </w:r>
    </w:p>
    <w:tbl>
      <w:tblPr>
        <w:tblStyle w:val="a7"/>
        <w:tblW w:w="14538" w:type="dxa"/>
        <w:jc w:val="left"/>
        <w:tblInd w:w="0" w:type="dxa"/>
        <w:tblCellMar>
          <w:top w:w="0" w:type="dxa"/>
          <w:left w:w="108" w:type="dxa"/>
          <w:bottom w:w="0" w:type="dxa"/>
          <w:right w:w="108" w:type="dxa"/>
        </w:tblCellMar>
        <w:tblLook w:val="04a0"/>
      </w:tblPr>
      <w:tblGrid>
        <w:gridCol w:w="3289"/>
        <w:gridCol w:w="2870"/>
        <w:gridCol w:w="2158"/>
        <w:gridCol w:w="1939"/>
        <w:gridCol w:w="2094"/>
        <w:gridCol w:w="2187"/>
      </w:tblGrid>
      <w:tr>
        <w:trPr/>
        <w:tc>
          <w:tcPr>
            <w:tcW w:w="3289" w:type="dxa"/>
            <w:tcBorders/>
            <w:shd w:fill="auto" w:val="clear"/>
          </w:tcPr>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t>Диагностируемое личностное качество</w:t>
            </w:r>
          </w:p>
        </w:tc>
        <w:tc>
          <w:tcPr>
            <w:tcW w:w="2870" w:type="dxa"/>
            <w:tcBorders/>
            <w:shd w:fill="auto" w:val="clear"/>
          </w:tcPr>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t>Показатель сформированности</w:t>
            </w:r>
          </w:p>
        </w:tc>
        <w:tc>
          <w:tcPr>
            <w:tcW w:w="2158" w:type="dxa"/>
            <w:tcBorders/>
            <w:shd w:fill="auto" w:val="clear"/>
          </w:tcPr>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t>Предмет мониторинга по показателю</w:t>
            </w:r>
          </w:p>
        </w:tc>
        <w:tc>
          <w:tcPr>
            <w:tcW w:w="1939" w:type="dxa"/>
            <w:tcBorders/>
            <w:shd w:fill="auto" w:val="clear"/>
          </w:tcPr>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t>Оценочная процедура</w:t>
            </w:r>
          </w:p>
        </w:tc>
        <w:tc>
          <w:tcPr>
            <w:tcW w:w="2094" w:type="dxa"/>
            <w:tcBorders/>
            <w:shd w:fill="auto" w:val="clear"/>
          </w:tcPr>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t>Исполнитель</w:t>
            </w:r>
          </w:p>
        </w:tc>
        <w:tc>
          <w:tcPr>
            <w:tcW w:w="2187" w:type="dxa"/>
            <w:tcBorders/>
            <w:shd w:fill="auto" w:val="clear"/>
          </w:tcPr>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t>Периодичность процедур мониторинга</w:t>
            </w:r>
          </w:p>
        </w:tc>
      </w:tr>
      <w:tr>
        <w:trPr/>
        <w:tc>
          <w:tcPr>
            <w:tcW w:w="3289" w:type="dxa"/>
            <w:vMerge w:val="restart"/>
            <w:tcBorders/>
            <w:shd w:fill="auto" w:val="clear"/>
          </w:tcPr>
          <w:p>
            <w:pPr>
              <w:pStyle w:val="ListParagraph"/>
              <w:numPr>
                <w:ilvl w:val="0"/>
                <w:numId w:val="2"/>
              </w:numPr>
              <w:spacing w:lineRule="auto" w:line="240" w:before="0" w:after="0"/>
              <w:contextualSpacing/>
              <w:rPr>
                <w:rFonts w:ascii="Times New Roman" w:hAnsi="Times New Roman" w:cs="Times New Roman"/>
                <w:sz w:val="24"/>
                <w:szCs w:val="24"/>
              </w:rPr>
            </w:pPr>
            <w:r>
              <w:rPr>
                <w:rFonts w:cs="Times New Roman" w:ascii="Times New Roman" w:hAnsi="Times New Roman"/>
                <w:sz w:val="24"/>
                <w:szCs w:val="24"/>
              </w:rPr>
              <w:t>Сформированность активной гражданской позиции</w:t>
            </w:r>
          </w:p>
        </w:tc>
        <w:tc>
          <w:tcPr>
            <w:tcW w:w="287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Наличие ценностной ориентации гражданского выбора</w:t>
            </w:r>
          </w:p>
        </w:tc>
        <w:tc>
          <w:tcPr>
            <w:tcW w:w="2158" w:type="dxa"/>
            <w:vMerge w:val="restart"/>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Количество учащихся, освоивших понятие российской идентичности и демонстрирующих принятие культурно — исторических практик России</w:t>
            </w:r>
          </w:p>
        </w:tc>
        <w:tc>
          <w:tcPr>
            <w:tcW w:w="193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Участие в мероприятиях</w:t>
            </w:r>
          </w:p>
        </w:tc>
        <w:tc>
          <w:tcPr>
            <w:tcW w:w="2094" w:type="dxa"/>
            <w:vMerge w:val="restart"/>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Классный руководитель, учитель по физической культуре</w:t>
            </w:r>
          </w:p>
        </w:tc>
        <w:tc>
          <w:tcPr>
            <w:tcW w:w="2187" w:type="dxa"/>
            <w:vMerge w:val="restart"/>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Е</w:t>
            </w:r>
            <w:r>
              <w:rPr>
                <w:rFonts w:cs="Times New Roman" w:ascii="Times New Roman" w:hAnsi="Times New Roman"/>
              </w:rPr>
              <w:t>жегодно в конце учебного года</w:t>
            </w:r>
          </w:p>
        </w:tc>
      </w:tr>
      <w:tr>
        <w:trPr>
          <w:trHeight w:val="276" w:hRule="atLeast"/>
        </w:trPr>
        <w:tc>
          <w:tcPr>
            <w:tcW w:w="3289" w:type="dxa"/>
            <w:vMerge w:val="continue"/>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70" w:type="dxa"/>
            <w:vMerge w:val="restart"/>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Освоение понятия российской идентичности.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Принятие культурноисторических практик России.</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Социально-культурный опыт учащихся</w:t>
            </w:r>
          </w:p>
        </w:tc>
        <w:tc>
          <w:tcPr>
            <w:tcW w:w="2158" w:type="dxa"/>
            <w:vMerge w:val="continue"/>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939" w:type="dxa"/>
            <w:vMerge w:val="restart"/>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Гражданско-патриотической направленности</w:t>
            </w:r>
          </w:p>
        </w:tc>
        <w:tc>
          <w:tcPr>
            <w:tcW w:w="2094" w:type="dxa"/>
            <w:vMerge w:val="continue"/>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187" w:type="dxa"/>
            <w:vMerge w:val="continue"/>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r>
      <w:tr>
        <w:trPr/>
        <w:tc>
          <w:tcPr>
            <w:tcW w:w="3289" w:type="dxa"/>
            <w:tcBorders/>
            <w:shd w:fill="auto" w:val="clear"/>
          </w:tcPr>
          <w:p>
            <w:pPr>
              <w:pStyle w:val="ListParagraph"/>
              <w:numPr>
                <w:ilvl w:val="0"/>
                <w:numId w:val="2"/>
              </w:numPr>
              <w:spacing w:lineRule="auto" w:line="240" w:before="0" w:after="0"/>
              <w:contextualSpacing/>
              <w:rPr>
                <w:rFonts w:ascii="Times New Roman" w:hAnsi="Times New Roman" w:cs="Times New Roman"/>
                <w:sz w:val="24"/>
                <w:szCs w:val="24"/>
              </w:rPr>
            </w:pPr>
            <w:r>
              <w:rPr>
                <w:rFonts w:cs="Times New Roman" w:ascii="Times New Roman" w:hAnsi="Times New Roman"/>
              </w:rPr>
              <w:t>Сформированность основ патриотической идентичности</w:t>
            </w:r>
          </w:p>
        </w:tc>
        <w:tc>
          <w:tcPr>
            <w:tcW w:w="2870" w:type="dxa"/>
            <w:vMerge w:val="continue"/>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158" w:type="dxa"/>
            <w:vMerge w:val="continue"/>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939" w:type="dxa"/>
            <w:vMerge w:val="continue"/>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094" w:type="dxa"/>
            <w:vMerge w:val="continue"/>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187" w:type="dxa"/>
            <w:vMerge w:val="continue"/>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r>
      <w:tr>
        <w:trPr/>
        <w:tc>
          <w:tcPr>
            <w:tcW w:w="3289" w:type="dxa"/>
            <w:tcBorders/>
            <w:shd w:fill="auto" w:val="clear"/>
          </w:tcPr>
          <w:p>
            <w:pPr>
              <w:pStyle w:val="ListParagraph"/>
              <w:numPr>
                <w:ilvl w:val="0"/>
                <w:numId w:val="2"/>
              </w:numPr>
              <w:spacing w:lineRule="auto" w:line="240" w:before="0" w:after="0"/>
              <w:contextualSpacing/>
              <w:rPr>
                <w:rFonts w:ascii="Times New Roman" w:hAnsi="Times New Roman" w:cs="Times New Roman"/>
                <w:sz w:val="24"/>
                <w:szCs w:val="24"/>
              </w:rPr>
            </w:pPr>
            <w:r>
              <w:rPr>
                <w:rFonts w:cs="Times New Roman" w:ascii="Times New Roman" w:hAnsi="Times New Roman"/>
              </w:rPr>
              <w:t>Сформирванность  первоначального представления о научной картине мира</w:t>
            </w:r>
          </w:p>
        </w:tc>
        <w:tc>
          <w:tcPr>
            <w:tcW w:w="287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Проявление интереса и точки зрения научного развития мира</w:t>
            </w:r>
          </w:p>
        </w:tc>
        <w:tc>
          <w:tcPr>
            <w:tcW w:w="215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Количество учащихся</w:t>
            </w:r>
          </w:p>
        </w:tc>
        <w:tc>
          <w:tcPr>
            <w:tcW w:w="193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Участие в проектной деятельности</w:t>
            </w:r>
          </w:p>
        </w:tc>
        <w:tc>
          <w:tcPr>
            <w:tcW w:w="2094"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Классный руководите ль</w:t>
            </w:r>
          </w:p>
        </w:tc>
        <w:tc>
          <w:tcPr>
            <w:tcW w:w="2187"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Е</w:t>
            </w:r>
            <w:r>
              <w:rPr>
                <w:rFonts w:cs="Times New Roman" w:ascii="Times New Roman" w:hAnsi="Times New Roman"/>
              </w:rPr>
              <w:t>жегодно в конце учебного года</w:t>
            </w:r>
          </w:p>
        </w:tc>
      </w:tr>
      <w:tr>
        <w:trPr/>
        <w:tc>
          <w:tcPr>
            <w:tcW w:w="3289" w:type="dxa"/>
            <w:tcBorders/>
            <w:shd w:fill="auto" w:val="clear"/>
          </w:tcPr>
          <w:p>
            <w:pPr>
              <w:pStyle w:val="ListParagraph"/>
              <w:numPr>
                <w:ilvl w:val="0"/>
                <w:numId w:val="2"/>
              </w:numPr>
              <w:spacing w:lineRule="auto" w:line="240" w:before="0" w:after="0"/>
              <w:contextualSpacing/>
              <w:rPr>
                <w:rFonts w:ascii="Times New Roman" w:hAnsi="Times New Roman" w:cs="Times New Roman"/>
                <w:sz w:val="24"/>
                <w:szCs w:val="24"/>
              </w:rPr>
            </w:pPr>
            <w:r>
              <w:rPr>
                <w:rFonts w:cs="Times New Roman" w:ascii="Times New Roman" w:hAnsi="Times New Roman"/>
                <w:sz w:val="24"/>
                <w:szCs w:val="24"/>
              </w:rPr>
              <w:t>Сформированность культуры здорового образа жизни</w:t>
            </w:r>
          </w:p>
        </w:tc>
        <w:tc>
          <w:tcPr>
            <w:tcW w:w="287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w:t>
            </w:r>
            <w:r>
              <w:rPr>
                <w:rFonts w:cs="Times New Roman" w:ascii="Times New Roman" w:hAnsi="Times New Roman"/>
              </w:rPr>
              <w:t>емонстрация культуры здорового образа жизни в среде образования и социальных практиках</w:t>
            </w:r>
          </w:p>
        </w:tc>
        <w:tc>
          <w:tcPr>
            <w:tcW w:w="215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Количество учащихся</w:t>
            </w:r>
          </w:p>
        </w:tc>
        <w:tc>
          <w:tcPr>
            <w:tcW w:w="193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Участие в мероприятиях направленных на здоровый образ жизни</w:t>
            </w:r>
          </w:p>
        </w:tc>
        <w:tc>
          <w:tcPr>
            <w:tcW w:w="2094"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Учитель по физической культуры</w:t>
            </w:r>
          </w:p>
        </w:tc>
        <w:tc>
          <w:tcPr>
            <w:tcW w:w="2187"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Е</w:t>
            </w:r>
            <w:r>
              <w:rPr>
                <w:rFonts w:cs="Times New Roman" w:ascii="Times New Roman" w:hAnsi="Times New Roman"/>
              </w:rPr>
              <w:t>жегодно в конце учебного года</w:t>
            </w:r>
          </w:p>
        </w:tc>
      </w:tr>
      <w:tr>
        <w:trPr/>
        <w:tc>
          <w:tcPr>
            <w:tcW w:w="328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5. Сформированность духовно-нравственной направленности</w:t>
            </w:r>
          </w:p>
        </w:tc>
        <w:tc>
          <w:tcPr>
            <w:tcW w:w="287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t>- признание индивидуальности каждого человека</w:t>
            </w:r>
          </w:p>
          <w:p>
            <w:pPr>
              <w:pStyle w:val="Normal"/>
              <w:spacing w:lineRule="auto" w:line="240" w:before="0" w:after="0"/>
              <w:rPr>
                <w:rFonts w:ascii="Times New Roman" w:hAnsi="Times New Roman" w:cs="Times New Roman"/>
              </w:rPr>
            </w:pPr>
            <w:r>
              <w:rPr>
                <w:rFonts w:cs="Times New Roman" w:ascii="Times New Roman" w:hAnsi="Times New Roman"/>
              </w:rPr>
              <w:t xml:space="preserve"> – </w:t>
            </w:r>
            <w:r>
              <w:rPr>
                <w:rFonts w:cs="Times New Roman" w:ascii="Times New Roman" w:hAnsi="Times New Roman"/>
              </w:rPr>
              <w:t>проявление сопереживания, уважения и доброжелательности</w:t>
            </w:r>
          </w:p>
          <w:p>
            <w:pPr>
              <w:pStyle w:val="Normal"/>
              <w:spacing w:lineRule="auto" w:line="240" w:before="0" w:after="0"/>
              <w:rPr>
                <w:rFonts w:ascii="Times New Roman" w:hAnsi="Times New Roman" w:cs="Times New Roman"/>
                <w:sz w:val="24"/>
                <w:szCs w:val="24"/>
              </w:rPr>
            </w:pPr>
            <w:r>
              <w:rPr>
                <w:rFonts w:cs="Times New Roman" w:ascii="Times New Roman" w:hAnsi="Times New Roman"/>
              </w:rPr>
              <w:t xml:space="preserve"> – </w:t>
            </w:r>
            <w:r>
              <w:rPr>
                <w:rFonts w:cs="Times New Roman" w:ascii="Times New Roman" w:hAnsi="Times New Roman"/>
              </w:rPr>
              <w:t>неприятие любых форм поведения, направленных на причинение физического и морального вреда другим людям</w:t>
            </w:r>
          </w:p>
        </w:tc>
        <w:tc>
          <w:tcPr>
            <w:tcW w:w="215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Количество учащихся</w:t>
            </w:r>
          </w:p>
        </w:tc>
        <w:tc>
          <w:tcPr>
            <w:tcW w:w="193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Участие в социальной жизни гимназии</w:t>
            </w:r>
          </w:p>
        </w:tc>
        <w:tc>
          <w:tcPr>
            <w:tcW w:w="2094"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Духовник гимназии -заместитель по ВР</w:t>
            </w:r>
          </w:p>
        </w:tc>
        <w:tc>
          <w:tcPr>
            <w:tcW w:w="2187"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Е</w:t>
            </w:r>
            <w:r>
              <w:rPr>
                <w:rFonts w:cs="Times New Roman" w:ascii="Times New Roman" w:hAnsi="Times New Roman"/>
              </w:rPr>
              <w:t>жегодно в конце учебного года</w:t>
            </w:r>
          </w:p>
        </w:tc>
      </w:tr>
      <w:tr>
        <w:trPr/>
        <w:tc>
          <w:tcPr>
            <w:tcW w:w="328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6.Сформированность эстетического вкуса</w:t>
            </w:r>
          </w:p>
        </w:tc>
        <w:tc>
          <w:tcPr>
            <w:tcW w:w="287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Демонстрация к красоте окружающего мира</w:t>
            </w:r>
          </w:p>
        </w:tc>
        <w:tc>
          <w:tcPr>
            <w:tcW w:w="215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Количество учащихся</w:t>
            </w:r>
          </w:p>
        </w:tc>
        <w:tc>
          <w:tcPr>
            <w:tcW w:w="193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Участие в художественных проектах гимназии</w:t>
            </w:r>
          </w:p>
        </w:tc>
        <w:tc>
          <w:tcPr>
            <w:tcW w:w="2094"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Учитель по изобразительному искусству</w:t>
            </w:r>
          </w:p>
        </w:tc>
        <w:tc>
          <w:tcPr>
            <w:tcW w:w="2187"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Е</w:t>
            </w:r>
            <w:r>
              <w:rPr>
                <w:rFonts w:cs="Times New Roman" w:ascii="Times New Roman" w:hAnsi="Times New Roman"/>
              </w:rPr>
              <w:t>жегодно в конце учебного года</w:t>
            </w:r>
          </w:p>
        </w:tc>
      </w:tr>
      <w:tr>
        <w:trPr/>
        <w:tc>
          <w:tcPr>
            <w:tcW w:w="328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7. Сформированность ценностного отношения к труду </w:t>
            </w:r>
          </w:p>
        </w:tc>
        <w:tc>
          <w:tcPr>
            <w:tcW w:w="287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Демонстрация и уважение к труду как способу самореализации</w:t>
            </w:r>
          </w:p>
        </w:tc>
        <w:tc>
          <w:tcPr>
            <w:tcW w:w="215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Количество учащихся</w:t>
            </w:r>
            <w:r>
              <w:rPr>
                <w:rFonts w:cs="Times New Roman" w:ascii="Times New Roman" w:hAnsi="Times New Roman"/>
              </w:rPr>
              <w:t xml:space="preserve"> проявляющих активность и участие в трудовых практиках, в том числе в качестве волонтер</w:t>
            </w:r>
            <w:r>
              <w:rPr>
                <w:rFonts w:cs="Times New Roman" w:ascii="Times New Roman" w:hAnsi="Times New Roman"/>
                <w:sz w:val="24"/>
                <w:szCs w:val="24"/>
              </w:rPr>
              <w:t>а</w:t>
            </w:r>
          </w:p>
        </w:tc>
        <w:tc>
          <w:tcPr>
            <w:tcW w:w="193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Готовность применить трудовой опыт на практике в гимназии</w:t>
            </w:r>
          </w:p>
        </w:tc>
        <w:tc>
          <w:tcPr>
            <w:tcW w:w="2094"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Классный руководите ль</w:t>
            </w:r>
          </w:p>
        </w:tc>
        <w:tc>
          <w:tcPr>
            <w:tcW w:w="2187"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Е</w:t>
            </w:r>
            <w:r>
              <w:rPr>
                <w:rFonts w:cs="Times New Roman" w:ascii="Times New Roman" w:hAnsi="Times New Roman"/>
              </w:rPr>
              <w:t>жегодно в конце учебного года</w:t>
            </w:r>
          </w:p>
        </w:tc>
      </w:tr>
      <w:tr>
        <w:trPr/>
        <w:tc>
          <w:tcPr>
            <w:tcW w:w="328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rPr>
              <w:t>8. Сформированность бережного отношение к природе</w:t>
            </w:r>
          </w:p>
        </w:tc>
        <w:tc>
          <w:tcPr>
            <w:tcW w:w="287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rPr>
              <w:t>Готовность учащихся к экологически безопасному поведению в быту</w:t>
            </w:r>
          </w:p>
        </w:tc>
        <w:tc>
          <w:tcPr>
            <w:tcW w:w="2158"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t xml:space="preserve">Освоение понятий экологического содержания. </w:t>
            </w:r>
          </w:p>
          <w:p>
            <w:pPr>
              <w:pStyle w:val="Normal"/>
              <w:spacing w:lineRule="auto" w:line="240" w:before="0" w:after="0"/>
              <w:rPr>
                <w:rFonts w:ascii="Times New Roman" w:hAnsi="Times New Roman" w:cs="Times New Roman"/>
                <w:sz w:val="24"/>
                <w:szCs w:val="24"/>
              </w:rPr>
            </w:pPr>
            <w:r>
              <w:rPr>
                <w:rFonts w:cs="Times New Roman" w:ascii="Times New Roman" w:hAnsi="Times New Roman"/>
              </w:rPr>
              <w:t>Работы в портфолио, подтверждающие социально- культурный опыт учащегося</w:t>
            </w:r>
          </w:p>
        </w:tc>
        <w:tc>
          <w:tcPr>
            <w:tcW w:w="1939"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Наблюдения классного руководителя</w:t>
            </w:r>
          </w:p>
        </w:tc>
        <w:tc>
          <w:tcPr>
            <w:tcW w:w="2094"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Классный руководите ль на уроках «Окружающий мир»</w:t>
            </w:r>
          </w:p>
        </w:tc>
        <w:tc>
          <w:tcPr>
            <w:tcW w:w="2187"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Е</w:t>
            </w:r>
            <w:r>
              <w:rPr>
                <w:rFonts w:cs="Times New Roman" w:ascii="Times New Roman" w:hAnsi="Times New Roman"/>
              </w:rPr>
              <w:t>жегодно в конце учебного года</w:t>
            </w:r>
          </w:p>
        </w:tc>
      </w:tr>
    </w:tbl>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widowControl/>
        <w:bidi w:val="0"/>
        <w:spacing w:lineRule="auto" w:line="276" w:before="0" w:after="200"/>
        <w:jc w:val="left"/>
        <w:rPr/>
      </w:pPr>
      <w:r>
        <w:rPr>
          <w:rFonts w:cs="Times New Roman" w:ascii="Times New Roman" w:hAnsi="Times New Roman"/>
          <w:sz w:val="28"/>
          <w:szCs w:val="28"/>
        </w:rPr>
        <w:t>Результаты данного мониторинга целесообразно дополнить справкой о занятости обучающихся во внеурочных видах деятельности, в организациях дополнительного образования (карты занятости учащихся).</w:t>
      </w:r>
    </w:p>
    <w:sectPr>
      <w:type w:val="nextPage"/>
      <w:pgSz w:orient="landscape" w:w="16838" w:h="11906"/>
      <w:pgMar w:left="1134" w:right="1134" w:header="0" w:top="850" w:footer="0" w:bottom="1701"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Times New Roman">
    <w:charset w:val="01"/>
    <w:family w:val="roman"/>
    <w:pitch w:val="variable"/>
  </w:font>
  <w:font w:name="Liberation Sans">
    <w:altName w:val="Arial"/>
    <w:charset w:val="01"/>
    <w:family w:val="swiss"/>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5"/>
      <w:numFmt w:val="bullet"/>
      <w:lvlText w:val=""/>
      <w:lvlJc w:val="left"/>
      <w:pPr>
        <w:ind w:left="720" w:hanging="360"/>
      </w:pPr>
      <w:rPr>
        <w:rFonts w:ascii="Symbol" w:hAnsi="Symbol" w:cs="Symbol" w:hint="default"/>
        <w:sz w:val="24"/>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65"/>
  <w:defaultTabStop w:val="708"/>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94feb"/>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1">
    <w:name w:val="Heading 1"/>
    <w:basedOn w:val="Normal"/>
    <w:link w:val="10"/>
    <w:uiPriority w:val="9"/>
    <w:qFormat/>
    <w:rsid w:val="00d94feb"/>
    <w:pPr>
      <w:keepNext w:val="true"/>
      <w:keepLines/>
      <w:spacing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2">
    <w:name w:val="Heading 2"/>
    <w:basedOn w:val="Normal"/>
    <w:link w:val="20"/>
    <w:uiPriority w:val="9"/>
    <w:qFormat/>
    <w:rsid w:val="00d94feb"/>
    <w:pPr>
      <w:spacing w:lineRule="auto" w:line="240" w:beforeAutospacing="1" w:afterAutospacing="1"/>
      <w:outlineLvl w:val="1"/>
    </w:pPr>
    <w:rPr>
      <w:rFonts w:ascii="Times New Roman" w:hAnsi="Times New Roman" w:eastAsia="Times New Roman" w:cs="Times New Roman"/>
      <w:b/>
      <w:bCs/>
      <w:sz w:val="36"/>
      <w:szCs w:val="36"/>
      <w:lang w:eastAsia="ru-RU"/>
    </w:rPr>
  </w:style>
  <w:style w:type="paragraph" w:styleId="4">
    <w:name w:val="Heading 4"/>
    <w:basedOn w:val="Normal"/>
    <w:link w:val="40"/>
    <w:uiPriority w:val="9"/>
    <w:qFormat/>
    <w:rsid w:val="00d94feb"/>
    <w:pPr>
      <w:spacing w:lineRule="auto" w:line="240" w:beforeAutospacing="1" w:afterAutospacing="1"/>
      <w:outlineLvl w:val="3"/>
    </w:pPr>
    <w:rPr>
      <w:rFonts w:ascii="Times New Roman" w:hAnsi="Times New Roman" w:eastAsia="Times New Roman" w:cs="Times New Roman"/>
      <w:b/>
      <w:bCs/>
      <w:sz w:val="24"/>
      <w:szCs w:val="24"/>
      <w:lang w:eastAsia="ru-RU"/>
    </w:rPr>
  </w:style>
  <w:style w:type="paragraph" w:styleId="5">
    <w:name w:val="Heading 5"/>
    <w:basedOn w:val="Normal"/>
    <w:link w:val="50"/>
    <w:uiPriority w:val="9"/>
    <w:unhideWhenUsed/>
    <w:qFormat/>
    <w:rsid w:val="00d94feb"/>
    <w:pPr>
      <w:keepNext w:val="true"/>
      <w:keepLines/>
      <w:spacing w:before="200" w:after="0"/>
      <w:outlineLvl w:val="4"/>
    </w:pPr>
    <w:rPr>
      <w:rFonts w:ascii="Cambria" w:hAnsi="Cambria" w:eastAsia="" w:cs="" w:asciiTheme="majorHAnsi" w:cstheme="majorBidi" w:eastAsiaTheme="majorEastAsia" w:hAnsiTheme="majorHAnsi"/>
      <w:color w:val="243F60" w:themeColor="accent1" w:themeShade="7f"/>
    </w:rPr>
  </w:style>
  <w:style w:type="paragraph" w:styleId="6">
    <w:name w:val="Heading 6"/>
    <w:basedOn w:val="Normal"/>
    <w:link w:val="60"/>
    <w:uiPriority w:val="9"/>
    <w:unhideWhenUsed/>
    <w:qFormat/>
    <w:rsid w:val="00d94feb"/>
    <w:pPr>
      <w:keepNext w:val="true"/>
      <w:keepLines/>
      <w:spacing w:before="200" w:after="0"/>
      <w:outlineLvl w:val="5"/>
    </w:pPr>
    <w:rPr>
      <w:rFonts w:ascii="Cambria" w:hAnsi="Cambria" w:eastAsia="" w:cs="" w:asciiTheme="majorHAnsi" w:cstheme="majorBidi" w:eastAsiaTheme="majorEastAsia" w:hAnsiTheme="majorHAnsi"/>
      <w:i/>
      <w:iCs/>
      <w:color w:val="243F60" w:themeColor="accent1" w:themeShade="7f"/>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link w:val="1"/>
    <w:uiPriority w:val="9"/>
    <w:qFormat/>
    <w:rsid w:val="00d94feb"/>
    <w:rPr>
      <w:rFonts w:ascii="Cambria" w:hAnsi="Cambria" w:eastAsia="" w:cs="" w:asciiTheme="majorHAnsi" w:cstheme="majorBidi" w:eastAsiaTheme="majorEastAsia" w:hAnsiTheme="majorHAnsi"/>
      <w:b/>
      <w:bCs/>
      <w:color w:val="365F91" w:themeColor="accent1" w:themeShade="bf"/>
      <w:sz w:val="28"/>
      <w:szCs w:val="28"/>
    </w:rPr>
  </w:style>
  <w:style w:type="character" w:styleId="21" w:customStyle="1">
    <w:name w:val="Заголовок 2 Знак"/>
    <w:basedOn w:val="DefaultParagraphFont"/>
    <w:link w:val="2"/>
    <w:uiPriority w:val="9"/>
    <w:qFormat/>
    <w:rsid w:val="00d94feb"/>
    <w:rPr>
      <w:rFonts w:ascii="Times New Roman" w:hAnsi="Times New Roman" w:eastAsia="Times New Roman" w:cs="Times New Roman"/>
      <w:b/>
      <w:bCs/>
      <w:sz w:val="36"/>
      <w:szCs w:val="36"/>
      <w:lang w:eastAsia="ru-RU"/>
    </w:rPr>
  </w:style>
  <w:style w:type="character" w:styleId="41" w:customStyle="1">
    <w:name w:val="Заголовок 4 Знак"/>
    <w:basedOn w:val="DefaultParagraphFont"/>
    <w:link w:val="4"/>
    <w:uiPriority w:val="9"/>
    <w:qFormat/>
    <w:rsid w:val="00d94feb"/>
    <w:rPr>
      <w:rFonts w:ascii="Times New Roman" w:hAnsi="Times New Roman" w:eastAsia="Times New Roman" w:cs="Times New Roman"/>
      <w:b/>
      <w:bCs/>
      <w:sz w:val="24"/>
      <w:szCs w:val="24"/>
      <w:lang w:eastAsia="ru-RU"/>
    </w:rPr>
  </w:style>
  <w:style w:type="character" w:styleId="51" w:customStyle="1">
    <w:name w:val="Заголовок 5 Знак"/>
    <w:basedOn w:val="DefaultParagraphFont"/>
    <w:link w:val="5"/>
    <w:uiPriority w:val="9"/>
    <w:qFormat/>
    <w:rsid w:val="00d94feb"/>
    <w:rPr>
      <w:rFonts w:ascii="Cambria" w:hAnsi="Cambria" w:eastAsia="" w:cs="" w:asciiTheme="majorHAnsi" w:cstheme="majorBidi" w:eastAsiaTheme="majorEastAsia" w:hAnsiTheme="majorHAnsi"/>
      <w:color w:val="243F60" w:themeColor="accent1" w:themeShade="7f"/>
    </w:rPr>
  </w:style>
  <w:style w:type="character" w:styleId="61" w:customStyle="1">
    <w:name w:val="Заголовок 6 Знак"/>
    <w:basedOn w:val="DefaultParagraphFont"/>
    <w:link w:val="6"/>
    <w:uiPriority w:val="9"/>
    <w:qFormat/>
    <w:rsid w:val="00d94feb"/>
    <w:rPr>
      <w:rFonts w:ascii="Cambria" w:hAnsi="Cambria" w:eastAsia="" w:cs="" w:asciiTheme="majorHAnsi" w:cstheme="majorBidi" w:eastAsiaTheme="majorEastAsia" w:hAnsiTheme="majorHAnsi"/>
      <w:i/>
      <w:iCs/>
      <w:color w:val="243F60" w:themeColor="accent1" w:themeShade="7f"/>
    </w:rPr>
  </w:style>
  <w:style w:type="character" w:styleId="SubtleEmphasis">
    <w:name w:val="Subtle Emphasis"/>
    <w:basedOn w:val="DefaultParagraphFont"/>
    <w:uiPriority w:val="19"/>
    <w:qFormat/>
    <w:rsid w:val="00d94feb"/>
    <w:rPr>
      <w:i/>
      <w:iCs/>
      <w:color w:val="808080" w:themeColor="text1" w:themeTint="7f"/>
    </w:rPr>
  </w:style>
  <w:style w:type="character" w:styleId="Style9" w:customStyle="1">
    <w:name w:val="Подзаголовок Знак"/>
    <w:basedOn w:val="DefaultParagraphFont"/>
    <w:link w:val="a5"/>
    <w:uiPriority w:val="11"/>
    <w:qFormat/>
    <w:rsid w:val="00d94feb"/>
    <w:rPr>
      <w:rFonts w:ascii="Cambria" w:hAnsi="Cambria" w:eastAsia="" w:cs="" w:asciiTheme="majorHAnsi" w:cstheme="majorBidi" w:eastAsiaTheme="majorEastAsia" w:hAnsiTheme="majorHAnsi"/>
      <w:i/>
      <w:iCs/>
      <w:color w:val="4F81BD" w:themeColor="accent1"/>
      <w:spacing w:val="15"/>
      <w:sz w:val="24"/>
      <w:szCs w:val="24"/>
    </w:rPr>
  </w:style>
  <w:style w:type="character" w:styleId="ListLabel1">
    <w:name w:val="ListLabel 1"/>
    <w:qFormat/>
    <w:rPr>
      <w:rFonts w:eastAsia="Calibri" w:cs="Times New Roman"/>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ascii="Times New Roman" w:hAnsi="Times New Roman" w:eastAsia="Calibri" w:cs="Times New Roman"/>
      <w:sz w:val="24"/>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paragraph" w:styleId="Style10">
    <w:name w:val="Заголовок"/>
    <w:basedOn w:val="Normal"/>
    <w:next w:val="Style11"/>
    <w:qFormat/>
    <w:pPr>
      <w:keepNext w:val="true"/>
      <w:spacing w:before="240" w:after="120"/>
    </w:pPr>
    <w:rPr>
      <w:rFonts w:ascii="Liberation Sans" w:hAnsi="Liberation Sans" w:eastAsia="Noto Sans CJK SC" w:cs="Lohit Devanagari"/>
      <w:sz w:val="28"/>
      <w:szCs w:val="28"/>
    </w:rPr>
  </w:style>
  <w:style w:type="paragraph" w:styleId="Style11">
    <w:name w:val="Body Text"/>
    <w:basedOn w:val="Normal"/>
    <w:pPr>
      <w:spacing w:lineRule="auto" w:line="276" w:before="0" w:after="140"/>
    </w:pPr>
    <w:rPr/>
  </w:style>
  <w:style w:type="paragraph" w:styleId="Style12">
    <w:name w:val="List"/>
    <w:basedOn w:val="Style11"/>
    <w:pPr/>
    <w:rPr>
      <w:rFonts w:cs="Lohit Devanagari"/>
    </w:rPr>
  </w:style>
  <w:style w:type="paragraph" w:styleId="Style13">
    <w:name w:val="Caption"/>
    <w:basedOn w:val="Normal"/>
    <w:qFormat/>
    <w:pPr>
      <w:suppressLineNumbers/>
      <w:spacing w:before="120" w:after="120"/>
    </w:pPr>
    <w:rPr>
      <w:rFonts w:cs="Lohit Devanagari"/>
      <w:i/>
      <w:iCs/>
      <w:sz w:val="24"/>
      <w:szCs w:val="24"/>
    </w:rPr>
  </w:style>
  <w:style w:type="paragraph" w:styleId="Style14">
    <w:name w:val="Указатель"/>
    <w:basedOn w:val="Normal"/>
    <w:qFormat/>
    <w:pPr>
      <w:suppressLineNumbers/>
    </w:pPr>
    <w:rPr>
      <w:rFonts w:cs="Lohit Devanagari"/>
    </w:rPr>
  </w:style>
  <w:style w:type="paragraph" w:styleId="NoSpacing">
    <w:name w:val="No Spacing"/>
    <w:uiPriority w:val="1"/>
    <w:qFormat/>
    <w:rsid w:val="00d94feb"/>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Style15">
    <w:name w:val="Subtitle"/>
    <w:basedOn w:val="Normal"/>
    <w:link w:val="a6"/>
    <w:uiPriority w:val="11"/>
    <w:qFormat/>
    <w:rsid w:val="00d94feb"/>
    <w:pPr/>
    <w:rPr>
      <w:rFonts w:ascii="Cambria" w:hAnsi="Cambria" w:eastAsia="" w:cs="" w:asciiTheme="majorHAnsi" w:cstheme="majorBidi" w:eastAsiaTheme="majorEastAsia" w:hAnsiTheme="majorHAnsi"/>
      <w:i/>
      <w:iCs/>
      <w:color w:val="4F81BD" w:themeColor="accent1"/>
      <w:spacing w:val="15"/>
      <w:sz w:val="24"/>
      <w:szCs w:val="24"/>
    </w:rPr>
  </w:style>
  <w:style w:type="paragraph" w:styleId="Standard" w:customStyle="1">
    <w:name w:val="Standard"/>
    <w:qFormat/>
    <w:rsid w:val="00bb17cf"/>
    <w:pPr>
      <w:widowControl w:val="false"/>
      <w:suppressAutoHyphens w:val="true"/>
      <w:bidi w:val="0"/>
      <w:spacing w:lineRule="auto" w:line="240" w:before="0" w:after="0"/>
      <w:jc w:val="left"/>
    </w:pPr>
    <w:rPr>
      <w:rFonts w:ascii="Times New Roman" w:hAnsi="Times New Roman" w:eastAsia="DejaVu Sans" w:cs="DejaVu Sans"/>
      <w:color w:val="auto"/>
      <w:kern w:val="2"/>
      <w:sz w:val="24"/>
      <w:szCs w:val="24"/>
      <w:lang w:eastAsia="zh-CN" w:bidi="hi-IN" w:val="ru-RU"/>
    </w:rPr>
  </w:style>
  <w:style w:type="paragraph" w:styleId="Default" w:customStyle="1">
    <w:name w:val="Default"/>
    <w:qFormat/>
    <w:rsid w:val="00e05567"/>
    <w:pPr>
      <w:widowControl/>
      <w:bidi w:val="0"/>
      <w:spacing w:lineRule="auto" w:line="240" w:before="0" w:after="0"/>
      <w:jc w:val="left"/>
    </w:pPr>
    <w:rPr>
      <w:rFonts w:ascii="Times New Roman" w:hAnsi="Times New Roman" w:cs="Times New Roman" w:eastAsia="Calibri"/>
      <w:color w:val="000000"/>
      <w:kern w:val="0"/>
      <w:sz w:val="24"/>
      <w:szCs w:val="24"/>
      <w:lang w:val="ru-RU" w:eastAsia="en-US" w:bidi="ar-SA"/>
    </w:rPr>
  </w:style>
  <w:style w:type="paragraph" w:styleId="ListParagraph">
    <w:name w:val="List Paragraph"/>
    <w:basedOn w:val="Normal"/>
    <w:uiPriority w:val="34"/>
    <w:qFormat/>
    <w:rsid w:val="00ad1ef0"/>
    <w:pPr>
      <w:spacing w:before="0" w:after="200"/>
      <w:ind w:left="720" w:hanging="0"/>
      <w:contextualSpacing/>
    </w:pPr>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table" w:styleId="a7">
    <w:name w:val="Table Grid"/>
    <w:basedOn w:val="a1"/>
    <w:uiPriority w:val="59"/>
    <w:rsid w:val="001a13a3"/>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02FE29-DFFA-4376-A9AE-62353D23A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Application>LibreOffice/6.0.7.3$Linux_X86_64 LibreOffice_project/00m0$Build-3</Application>
  <Pages>39</Pages>
  <Words>6169</Words>
  <Characters>48331</Characters>
  <CharactersWithSpaces>54434</CharactersWithSpaces>
  <Paragraphs>681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2022-07-22T02:37:00Z</dcterms:created>
  <dc:creator>Ангелина Ющенко</dc:creator>
  <dc:description/>
  <dc:language>ru-RU</dc:language>
  <cp:lastModifiedBy/>
  <dcterms:modified xsi:type="dcterms:W3CDTF">2022-07-30T23:20:54Z</dcterms:modified>
  <cp:revision>49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